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C5CF" w14:textId="56EEC09E" w:rsidR="00FE0519" w:rsidRDefault="00C64E55" w:rsidP="00C64E55">
      <w:pPr>
        <w:jc w:val="center"/>
        <w:rPr>
          <w:b/>
          <w:bCs/>
          <w:i/>
          <w:iCs/>
        </w:rPr>
      </w:pPr>
      <w:r>
        <w:rPr>
          <w:b/>
          <w:bCs/>
          <w:i/>
          <w:iCs/>
        </w:rPr>
        <w:t>Letter of Medical Necessity</w:t>
      </w:r>
    </w:p>
    <w:p w14:paraId="34A01FCC" w14:textId="48D3DC35" w:rsidR="00C64E55" w:rsidRDefault="00C64E55" w:rsidP="00C64E55">
      <w:pPr>
        <w:spacing w:after="0"/>
        <w:rPr>
          <w:i/>
          <w:iCs/>
        </w:rPr>
      </w:pPr>
      <w:r>
        <w:t xml:space="preserve">Date: </w:t>
      </w:r>
      <w:r w:rsidRPr="00C64E55">
        <w:rPr>
          <w:i/>
          <w:iCs/>
          <w:highlight w:val="lightGray"/>
        </w:rPr>
        <w:t>Month, Day, Year</w:t>
      </w:r>
    </w:p>
    <w:p w14:paraId="64B11984" w14:textId="77777777" w:rsidR="00C64E55" w:rsidRDefault="00C64E55" w:rsidP="00C64E55">
      <w:pPr>
        <w:spacing w:after="0"/>
      </w:pPr>
    </w:p>
    <w:p w14:paraId="02B3CBA1" w14:textId="17BA6493" w:rsidR="00C64E55" w:rsidRDefault="00C64E55" w:rsidP="00C64E55">
      <w:pPr>
        <w:spacing w:after="0"/>
      </w:pPr>
      <w:r>
        <w:t xml:space="preserve">To: </w:t>
      </w:r>
      <w:r w:rsidRPr="00C64E55">
        <w:rPr>
          <w:i/>
          <w:iCs/>
          <w:highlight w:val="lightGray"/>
        </w:rPr>
        <w:t>Insurance Company</w:t>
      </w:r>
    </w:p>
    <w:p w14:paraId="4B184ECA" w14:textId="206D3980" w:rsidR="00C64E55" w:rsidRDefault="00C64E55" w:rsidP="00C64E55">
      <w:pPr>
        <w:spacing w:after="0"/>
        <w:rPr>
          <w:i/>
          <w:iCs/>
        </w:rPr>
      </w:pPr>
      <w:r>
        <w:t xml:space="preserve">From: </w:t>
      </w:r>
      <w:r w:rsidRPr="00C64E55">
        <w:rPr>
          <w:i/>
          <w:iCs/>
          <w:highlight w:val="lightGray"/>
        </w:rPr>
        <w:t>Physician Name</w:t>
      </w:r>
    </w:p>
    <w:p w14:paraId="46C31502" w14:textId="77777777" w:rsidR="00C64E55" w:rsidRDefault="00C64E55" w:rsidP="00C64E55">
      <w:pPr>
        <w:spacing w:after="0"/>
      </w:pPr>
    </w:p>
    <w:p w14:paraId="1943B3E7" w14:textId="792CCD0B" w:rsidR="00C64E55" w:rsidRDefault="00C64E55" w:rsidP="00C64E55">
      <w:pPr>
        <w:spacing w:after="0"/>
      </w:pPr>
      <w:r>
        <w:t>Subject: Request for coverage/reimbursement for ThickenUP® Clear powder.</w:t>
      </w:r>
    </w:p>
    <w:p w14:paraId="07CB0BE8" w14:textId="13948991" w:rsidR="00C64E55" w:rsidRDefault="00C64E55" w:rsidP="00C64E55">
      <w:pPr>
        <w:spacing w:after="0"/>
      </w:pPr>
    </w:p>
    <w:p w14:paraId="446E41B0" w14:textId="601E185D" w:rsidR="00C64E55" w:rsidRDefault="00C64E55" w:rsidP="00CF0175">
      <w:pPr>
        <w:spacing w:after="0" w:line="240" w:lineRule="auto"/>
      </w:pPr>
      <w:r>
        <w:t xml:space="preserve">I am requesting insurance coverage and reimbursement on behalf of my patient, </w:t>
      </w:r>
      <w:r w:rsidRPr="00C64E55">
        <w:rPr>
          <w:i/>
          <w:iCs/>
          <w:highlight w:val="lightGray"/>
        </w:rPr>
        <w:t>Name/Date of Birth</w:t>
      </w:r>
      <w:r>
        <w:t>. I have prescribed ThickenUP® Clear powder manufactured by Nestl</w:t>
      </w:r>
      <w:r w:rsidR="00E3087E">
        <w:rPr>
          <w:rFonts w:cstheme="minorHAnsi"/>
        </w:rPr>
        <w:t>é</w:t>
      </w:r>
      <w:r>
        <w:t xml:space="preserve"> Health Science as a food and beverage thickening agent to help provide swallowing support in connection with </w:t>
      </w:r>
      <w:r w:rsidRPr="00C64E55">
        <w:rPr>
          <w:i/>
          <w:iCs/>
          <w:highlight w:val="lightGray"/>
        </w:rPr>
        <w:t>Diagnosis or Condition</w:t>
      </w:r>
      <w:r>
        <w:t>.</w:t>
      </w:r>
    </w:p>
    <w:p w14:paraId="5D19B220" w14:textId="3DD35C34" w:rsidR="00C64E55" w:rsidRDefault="00C64E55" w:rsidP="00CF0175">
      <w:pPr>
        <w:spacing w:after="0" w:line="240" w:lineRule="auto"/>
      </w:pPr>
    </w:p>
    <w:p w14:paraId="708503EA" w14:textId="2D2F08DE" w:rsidR="00C64E55" w:rsidRDefault="00C64E55" w:rsidP="00CF0175">
      <w:pPr>
        <w:spacing w:after="0" w:line="240" w:lineRule="auto"/>
      </w:pPr>
      <w:r>
        <w:t>Verify medical necessity for formula, including: diagnosis, documented failure or intolerance to other formulas, current HT/WT/IBW, history of w</w:t>
      </w:r>
      <w:r w:rsidR="00CF0175">
        <w:t>eight</w:t>
      </w:r>
      <w:r>
        <w:t xml:space="preserve"> loss, pertinent lab results, medications, potential outcome if formula were denied.</w:t>
      </w:r>
    </w:p>
    <w:p w14:paraId="11912967" w14:textId="08EE06EC" w:rsidR="00C64E55" w:rsidRDefault="00C64E55" w:rsidP="00CF0175">
      <w:pPr>
        <w:spacing w:after="0" w:line="240" w:lineRule="auto"/>
      </w:pPr>
    </w:p>
    <w:p w14:paraId="2E8C4F8C" w14:textId="18BDDDA7" w:rsidR="00C64E55" w:rsidRDefault="00C64E55" w:rsidP="00CF0175">
      <w:pPr>
        <w:spacing w:after="0" w:line="240" w:lineRule="auto"/>
      </w:pPr>
      <w:r>
        <w:t>ThickenUP® Clear powder is an instant food and drink thickening powder for adults and children over the age of three. This product is intended for the nutritional management of patients with dysphagia, who may require a thickening agent to provide swallowing support.</w:t>
      </w:r>
    </w:p>
    <w:p w14:paraId="46ED1953" w14:textId="10F14DD6" w:rsidR="00C64E55" w:rsidRDefault="00C64E55" w:rsidP="00CF0175">
      <w:pPr>
        <w:spacing w:after="0" w:line="240" w:lineRule="auto"/>
      </w:pPr>
    </w:p>
    <w:p w14:paraId="1443C590" w14:textId="38A1BC37" w:rsidR="00C64E55" w:rsidRDefault="00C64E55" w:rsidP="00CF0175">
      <w:pPr>
        <w:spacing w:after="0" w:line="240" w:lineRule="auto"/>
      </w:pPr>
      <w:r>
        <w:t>ThickenUP® Clear powder is a clear, easy-to-use thickening agent used to provide swallowing support for people with dysphagia. The product can be used in a wide range of hot or cold foods and beverages. Liquids mixed with ThickenUP® Clear powder do not have alterations to taste or odor</w:t>
      </w:r>
      <w:r w:rsidR="001D0553">
        <w:t>.</w:t>
      </w:r>
      <w:r w:rsidR="00753666" w:rsidRPr="00753666">
        <w:rPr>
          <w:vertAlign w:val="superscript"/>
        </w:rPr>
        <w:t xml:space="preserve"> </w:t>
      </w:r>
      <w:r w:rsidR="00753666" w:rsidRPr="00C64E55">
        <w:rPr>
          <w:vertAlign w:val="superscript"/>
        </w:rPr>
        <w:t>1</w:t>
      </w:r>
      <w:r>
        <w:t xml:space="preserve"> The product dissolves quickly and easily without lumps.</w:t>
      </w:r>
    </w:p>
    <w:p w14:paraId="7298E0C4" w14:textId="6DF3B297" w:rsidR="00C64E55" w:rsidRDefault="00C64E55" w:rsidP="00CF0175">
      <w:pPr>
        <w:spacing w:after="0" w:line="240" w:lineRule="auto"/>
      </w:pPr>
    </w:p>
    <w:p w14:paraId="39174092" w14:textId="4FB79231" w:rsidR="00C64E55" w:rsidRDefault="00C64E55" w:rsidP="00CF0175">
      <w:pPr>
        <w:spacing w:after="0" w:line="240" w:lineRule="auto"/>
      </w:pPr>
      <w:r>
        <w:t>Dysphagia is a serious and widespread problem.</w:t>
      </w:r>
      <w:r w:rsidR="00A34EF9" w:rsidRPr="00DC2303">
        <w:rPr>
          <w:vertAlign w:val="superscript"/>
        </w:rPr>
        <w:t>2</w:t>
      </w:r>
      <w:r>
        <w:t xml:space="preserve"> In the U.S., it is estimated that </w:t>
      </w:r>
      <w:r w:rsidR="00A34EF9">
        <w:t>10% to 33% of older adults have difficulty swallowing solids, liquids or both</w:t>
      </w:r>
      <w:r>
        <w:t>.</w:t>
      </w:r>
      <w:r w:rsidRPr="00DC2303">
        <w:rPr>
          <w:vertAlign w:val="superscript"/>
        </w:rPr>
        <w:t>3</w:t>
      </w:r>
      <w:r w:rsidR="00DC2303">
        <w:t xml:space="preserve"> Dysphagia sufferers have an increased risk of aspiration pneumonia</w:t>
      </w:r>
      <w:r w:rsidR="00663187">
        <w:t>.</w:t>
      </w:r>
      <w:r w:rsidR="00DC2303" w:rsidRPr="0031748C">
        <w:rPr>
          <w:vertAlign w:val="superscript"/>
        </w:rPr>
        <w:t>4</w:t>
      </w:r>
      <w:r w:rsidR="00DC2303">
        <w:t xml:space="preserve"> ThickenUP® Clear powder is clinically shown to improve swallowing safety in dysphagia patients by reducing the risk of aspiration compared with thin liquids</w:t>
      </w:r>
      <w:r w:rsidR="00663187">
        <w:t>.</w:t>
      </w:r>
      <w:r w:rsidR="00DC2303" w:rsidRPr="0031748C">
        <w:rPr>
          <w:vertAlign w:val="superscript"/>
        </w:rPr>
        <w:t>5</w:t>
      </w:r>
      <w:r w:rsidR="00663187">
        <w:t xml:space="preserve"> </w:t>
      </w:r>
      <w:r w:rsidR="00DC2303">
        <w:t xml:space="preserve"> Intervention with  </w:t>
      </w:r>
      <w:r w:rsidR="00DD7315">
        <w:t xml:space="preserve">thickened liquids </w:t>
      </w:r>
      <w:r w:rsidR="00663187">
        <w:t xml:space="preserve">is a common recommendation with the goal of slowing down the flow of liquids to allow more time for airway closure. Increasing </w:t>
      </w:r>
      <w:r w:rsidR="00A7451E">
        <w:t xml:space="preserve">viscosity of the bolus has been demonstrated to improve swallowing function </w:t>
      </w:r>
      <w:r w:rsidR="00A7451E">
        <w:rPr>
          <w:vertAlign w:val="superscript"/>
        </w:rPr>
        <w:t xml:space="preserve">6 </w:t>
      </w:r>
      <w:r w:rsidR="00A7451E">
        <w:t xml:space="preserve">which may reduce the risk of aspiration pneumonia, </w:t>
      </w:r>
      <w:r w:rsidR="009B03B1">
        <w:t xml:space="preserve">may </w:t>
      </w:r>
      <w:r w:rsidR="00A7451E">
        <w:t xml:space="preserve">improve nutritional status and </w:t>
      </w:r>
      <w:r w:rsidR="009B03B1">
        <w:t xml:space="preserve">increase </w:t>
      </w:r>
      <w:r w:rsidR="00A7451E">
        <w:t>quality of life.</w:t>
      </w:r>
      <w:r w:rsidR="00A7451E" w:rsidRPr="009F560B">
        <w:rPr>
          <w:vertAlign w:val="superscript"/>
        </w:rPr>
        <w:t>7</w:t>
      </w:r>
    </w:p>
    <w:p w14:paraId="0156364D" w14:textId="636DE7E2" w:rsidR="00DC2303" w:rsidRDefault="00DC2303" w:rsidP="00CF0175">
      <w:pPr>
        <w:spacing w:after="0" w:line="240" w:lineRule="auto"/>
      </w:pPr>
    </w:p>
    <w:p w14:paraId="0A65C6FC" w14:textId="4746303C" w:rsidR="00DC2303" w:rsidRDefault="00DC2303" w:rsidP="00CF0175">
      <w:pPr>
        <w:spacing w:after="0" w:line="240" w:lineRule="auto"/>
      </w:pPr>
      <w:r>
        <w:t>ThickenUP® Clear powder is recognized by the Centers for Medicare and Medicaid Services (CMS) as a food thickener, administered orally, per ounce, found in HCPCS Category B4100.</w:t>
      </w:r>
    </w:p>
    <w:p w14:paraId="6AB54FE0" w14:textId="48C63BA9" w:rsidR="00DC2303" w:rsidRDefault="00DC2303" w:rsidP="00CF0175">
      <w:pPr>
        <w:spacing w:after="0" w:line="240" w:lineRule="auto"/>
      </w:pPr>
    </w:p>
    <w:p w14:paraId="77EBA2D3" w14:textId="1F9615B4" w:rsidR="00DC2303" w:rsidRDefault="00DC2303" w:rsidP="00CF0175">
      <w:pPr>
        <w:spacing w:after="0" w:line="240" w:lineRule="auto"/>
      </w:pPr>
      <w:r>
        <w:t>Thank you for taking time to review this request. Please contact me should you require any additional information.</w:t>
      </w:r>
    </w:p>
    <w:p w14:paraId="5BCB5728" w14:textId="22DB7F49" w:rsidR="00DC2303" w:rsidRDefault="00DC2303" w:rsidP="00CF0175">
      <w:pPr>
        <w:spacing w:after="0" w:line="240" w:lineRule="auto"/>
      </w:pPr>
    </w:p>
    <w:p w14:paraId="59AEE09F" w14:textId="4DAF2E8A" w:rsidR="00DC2303" w:rsidRDefault="00DC2303" w:rsidP="00CF0175">
      <w:pPr>
        <w:spacing w:after="0" w:line="240" w:lineRule="auto"/>
      </w:pPr>
      <w:r>
        <w:t>Sincerely,</w:t>
      </w:r>
    </w:p>
    <w:p w14:paraId="54993B80" w14:textId="158C8667" w:rsidR="00DC2303" w:rsidRDefault="00DC2303" w:rsidP="00CF0175">
      <w:pPr>
        <w:spacing w:after="0" w:line="240" w:lineRule="auto"/>
      </w:pPr>
    </w:p>
    <w:p w14:paraId="4B0CDC48" w14:textId="3EC709F4" w:rsidR="00DC2303" w:rsidRDefault="00DC2303" w:rsidP="00CF0175">
      <w:pPr>
        <w:spacing w:after="0" w:line="240" w:lineRule="auto"/>
      </w:pPr>
      <w:r>
        <w:t>Signature:</w:t>
      </w:r>
    </w:p>
    <w:p w14:paraId="74D5BDCA" w14:textId="3D4B3000" w:rsidR="00DC2303" w:rsidRDefault="00DC2303" w:rsidP="00CF0175">
      <w:pPr>
        <w:spacing w:after="0" w:line="240" w:lineRule="auto"/>
      </w:pPr>
      <w:r>
        <w:t>Name:</w:t>
      </w:r>
    </w:p>
    <w:p w14:paraId="087D38C2" w14:textId="368A9293" w:rsidR="00DC2303" w:rsidRDefault="00DC2303" w:rsidP="00CF0175">
      <w:pPr>
        <w:spacing w:after="0" w:line="240" w:lineRule="auto"/>
      </w:pPr>
      <w:r>
        <w:t>Title:</w:t>
      </w:r>
    </w:p>
    <w:p w14:paraId="7D25F2BB" w14:textId="33DDEE44" w:rsidR="00DC2303" w:rsidRDefault="00DC2303" w:rsidP="00CF0175">
      <w:pPr>
        <w:spacing w:after="0" w:line="240" w:lineRule="auto"/>
      </w:pPr>
    </w:p>
    <w:p w14:paraId="640A63C5" w14:textId="750AE71D" w:rsidR="00DC2303" w:rsidRDefault="00DC2303" w:rsidP="00CF0175">
      <w:pPr>
        <w:spacing w:after="0" w:line="240" w:lineRule="auto"/>
        <w:rPr>
          <w:color w:val="FF0000"/>
        </w:rPr>
      </w:pPr>
      <w:r>
        <w:lastRenderedPageBreak/>
        <w:t xml:space="preserve">Attachments: If relevant, include pertinent information supporting evidence of medical necessity and product information. Please refer </w:t>
      </w:r>
      <w:r w:rsidR="00085090">
        <w:t>to</w:t>
      </w:r>
      <w:r w:rsidR="005A3EC2">
        <w:t xml:space="preserve"> </w:t>
      </w:r>
      <w:hyperlink r:id="rId7" w:history="1">
        <w:r w:rsidR="005A3EC2" w:rsidRPr="005A3EC2">
          <w:rPr>
            <w:color w:val="0000FF"/>
            <w:u w:val="single"/>
          </w:rPr>
          <w:t>ThickenUp® Clear | Nestlé Medical Hub for Healthcare Professionals (nestlemedicalhub.com)</w:t>
        </w:r>
      </w:hyperlink>
      <w:r w:rsidR="001E1504">
        <w:t xml:space="preserve"> for product in</w:t>
      </w:r>
      <w:r>
        <w:t>formation.</w:t>
      </w:r>
    </w:p>
    <w:p w14:paraId="63ED5B6C" w14:textId="77777777" w:rsidR="0031748C" w:rsidRDefault="0031748C" w:rsidP="00CF0175">
      <w:pPr>
        <w:spacing w:after="0" w:line="240" w:lineRule="auto"/>
        <w:rPr>
          <w:color w:val="FF0000"/>
        </w:rPr>
      </w:pPr>
    </w:p>
    <w:tbl>
      <w:tblPr>
        <w:tblStyle w:val="TableGrid"/>
        <w:tblW w:w="0" w:type="auto"/>
        <w:tblLook w:val="04A0" w:firstRow="1" w:lastRow="0" w:firstColumn="1" w:lastColumn="0" w:noHBand="0" w:noVBand="1"/>
      </w:tblPr>
      <w:tblGrid>
        <w:gridCol w:w="4675"/>
        <w:gridCol w:w="4675"/>
      </w:tblGrid>
      <w:tr w:rsidR="0031748C" w14:paraId="614C04C2" w14:textId="77777777" w:rsidTr="0031748C">
        <w:tc>
          <w:tcPr>
            <w:tcW w:w="4675" w:type="dxa"/>
          </w:tcPr>
          <w:p w14:paraId="4D27E2DA" w14:textId="129F20FB" w:rsidR="0031748C" w:rsidRPr="0031748C" w:rsidRDefault="0031748C" w:rsidP="00CF0175">
            <w:pPr>
              <w:rPr>
                <w:b/>
                <w:bCs/>
              </w:rPr>
            </w:pPr>
            <w:r w:rsidRPr="0031748C">
              <w:rPr>
                <w:b/>
                <w:bCs/>
              </w:rPr>
              <w:t>Key Nutrients</w:t>
            </w:r>
          </w:p>
        </w:tc>
        <w:tc>
          <w:tcPr>
            <w:tcW w:w="4675" w:type="dxa"/>
          </w:tcPr>
          <w:p w14:paraId="0E36A45C" w14:textId="369A4709" w:rsidR="0031748C" w:rsidRPr="0031748C" w:rsidRDefault="0031748C" w:rsidP="00CF0175">
            <w:pPr>
              <w:jc w:val="center"/>
              <w:rPr>
                <w:b/>
                <w:bCs/>
              </w:rPr>
            </w:pPr>
            <w:r w:rsidRPr="0031748C">
              <w:rPr>
                <w:b/>
                <w:bCs/>
              </w:rPr>
              <w:t>Per 1 packet (1.4g) or 1 scoop (1.4g)</w:t>
            </w:r>
          </w:p>
        </w:tc>
      </w:tr>
      <w:tr w:rsidR="0031748C" w14:paraId="49247F3E" w14:textId="77777777" w:rsidTr="0031748C">
        <w:tc>
          <w:tcPr>
            <w:tcW w:w="4675" w:type="dxa"/>
          </w:tcPr>
          <w:p w14:paraId="3C5F6E2E" w14:textId="790CD334" w:rsidR="0031748C" w:rsidRPr="0031748C" w:rsidRDefault="0031748C" w:rsidP="00CF0175">
            <w:r w:rsidRPr="0031748C">
              <w:t>Calories</w:t>
            </w:r>
          </w:p>
        </w:tc>
        <w:tc>
          <w:tcPr>
            <w:tcW w:w="4675" w:type="dxa"/>
          </w:tcPr>
          <w:p w14:paraId="34129D2C" w14:textId="718C2944" w:rsidR="0031748C" w:rsidRPr="0031748C" w:rsidRDefault="0031748C" w:rsidP="00CF0175">
            <w:pPr>
              <w:jc w:val="center"/>
            </w:pPr>
            <w:r w:rsidRPr="0031748C">
              <w:t>5</w:t>
            </w:r>
          </w:p>
        </w:tc>
      </w:tr>
      <w:tr w:rsidR="0031748C" w14:paraId="2657F5B0" w14:textId="77777777" w:rsidTr="0031748C">
        <w:tc>
          <w:tcPr>
            <w:tcW w:w="4675" w:type="dxa"/>
          </w:tcPr>
          <w:p w14:paraId="18325AB2" w14:textId="2B51744F" w:rsidR="0031748C" w:rsidRPr="0031748C" w:rsidRDefault="0031748C" w:rsidP="00CF0175">
            <w:r w:rsidRPr="0031748C">
              <w:t>Total Fat (g)</w:t>
            </w:r>
          </w:p>
        </w:tc>
        <w:tc>
          <w:tcPr>
            <w:tcW w:w="4675" w:type="dxa"/>
          </w:tcPr>
          <w:p w14:paraId="5ECE2B17" w14:textId="2918178E" w:rsidR="0031748C" w:rsidRPr="0031748C" w:rsidRDefault="0031748C" w:rsidP="00CF0175">
            <w:pPr>
              <w:jc w:val="center"/>
            </w:pPr>
            <w:r w:rsidRPr="0031748C">
              <w:t>0</w:t>
            </w:r>
          </w:p>
        </w:tc>
      </w:tr>
      <w:tr w:rsidR="0031748C" w14:paraId="4595BFF7" w14:textId="77777777" w:rsidTr="0031748C">
        <w:tc>
          <w:tcPr>
            <w:tcW w:w="4675" w:type="dxa"/>
          </w:tcPr>
          <w:p w14:paraId="17791CBC" w14:textId="42C46E55" w:rsidR="0031748C" w:rsidRPr="0031748C" w:rsidRDefault="0031748C" w:rsidP="00CF0175">
            <w:r w:rsidRPr="0031748C">
              <w:t>Total Carbohydrate (g)</w:t>
            </w:r>
          </w:p>
        </w:tc>
        <w:tc>
          <w:tcPr>
            <w:tcW w:w="4675" w:type="dxa"/>
          </w:tcPr>
          <w:p w14:paraId="1C5009D4" w14:textId="1C4C742F" w:rsidR="0031748C" w:rsidRPr="0031748C" w:rsidRDefault="0031748C" w:rsidP="00CF0175">
            <w:pPr>
              <w:jc w:val="center"/>
            </w:pPr>
            <w:r w:rsidRPr="0031748C">
              <w:t>1</w:t>
            </w:r>
          </w:p>
        </w:tc>
      </w:tr>
      <w:tr w:rsidR="0031748C" w14:paraId="31D4B5C1" w14:textId="77777777" w:rsidTr="0031748C">
        <w:tc>
          <w:tcPr>
            <w:tcW w:w="4675" w:type="dxa"/>
          </w:tcPr>
          <w:p w14:paraId="1CF2382E" w14:textId="278D4491" w:rsidR="0031748C" w:rsidRPr="0031748C" w:rsidRDefault="0031748C" w:rsidP="00CF0175">
            <w:r w:rsidRPr="0031748C">
              <w:t>Protein (g)</w:t>
            </w:r>
          </w:p>
        </w:tc>
        <w:tc>
          <w:tcPr>
            <w:tcW w:w="4675" w:type="dxa"/>
          </w:tcPr>
          <w:p w14:paraId="13620133" w14:textId="3C12017F" w:rsidR="0031748C" w:rsidRPr="0031748C" w:rsidRDefault="0031748C" w:rsidP="00CF0175">
            <w:pPr>
              <w:jc w:val="center"/>
            </w:pPr>
            <w:r w:rsidRPr="0031748C">
              <w:t>0</w:t>
            </w:r>
          </w:p>
        </w:tc>
      </w:tr>
    </w:tbl>
    <w:p w14:paraId="2D195631" w14:textId="77777777" w:rsidR="0031748C" w:rsidRDefault="0031748C" w:rsidP="00CF0175">
      <w:pPr>
        <w:spacing w:after="0" w:line="240" w:lineRule="auto"/>
        <w:rPr>
          <w:color w:val="FF0000"/>
        </w:rPr>
      </w:pPr>
    </w:p>
    <w:p w14:paraId="53237377" w14:textId="121179F8" w:rsidR="00DC2303" w:rsidRDefault="00DC2303" w:rsidP="00CF0175">
      <w:pPr>
        <w:spacing w:after="0" w:line="240" w:lineRule="auto"/>
        <w:rPr>
          <w:color w:val="FF0000"/>
        </w:rPr>
      </w:pPr>
    </w:p>
    <w:p w14:paraId="4380DB7C" w14:textId="64DC043E" w:rsidR="00DC2303" w:rsidRPr="0031748C" w:rsidRDefault="00DC2303" w:rsidP="00CF0175">
      <w:pPr>
        <w:pStyle w:val="ListParagraph"/>
        <w:numPr>
          <w:ilvl w:val="0"/>
          <w:numId w:val="1"/>
        </w:numPr>
        <w:spacing w:after="0" w:line="240" w:lineRule="auto"/>
        <w:rPr>
          <w:sz w:val="18"/>
          <w:szCs w:val="18"/>
        </w:rPr>
      </w:pPr>
      <w:r w:rsidRPr="0031748C">
        <w:rPr>
          <w:sz w:val="18"/>
          <w:szCs w:val="18"/>
        </w:rPr>
        <w:t>Nestl</w:t>
      </w:r>
      <w:r w:rsidR="0031748C" w:rsidRPr="0031748C">
        <w:rPr>
          <w:rFonts w:cstheme="minorHAnsi"/>
          <w:sz w:val="18"/>
          <w:szCs w:val="18"/>
        </w:rPr>
        <w:t>é</w:t>
      </w:r>
      <w:r w:rsidRPr="0031748C">
        <w:rPr>
          <w:sz w:val="18"/>
          <w:szCs w:val="18"/>
        </w:rPr>
        <w:t xml:space="preserve"> Hea</w:t>
      </w:r>
      <w:r w:rsidR="0031748C" w:rsidRPr="0031748C">
        <w:rPr>
          <w:sz w:val="18"/>
          <w:szCs w:val="18"/>
        </w:rPr>
        <w:t>l</w:t>
      </w:r>
      <w:r w:rsidRPr="0031748C">
        <w:rPr>
          <w:sz w:val="18"/>
          <w:szCs w:val="18"/>
        </w:rPr>
        <w:t>thcare Nutrition. Data on File.</w:t>
      </w:r>
    </w:p>
    <w:p w14:paraId="02C962B3" w14:textId="7509B4CC" w:rsidR="00DC2303" w:rsidRPr="0031748C" w:rsidRDefault="00DC2303" w:rsidP="00CF0175">
      <w:pPr>
        <w:pStyle w:val="ListParagraph"/>
        <w:numPr>
          <w:ilvl w:val="0"/>
          <w:numId w:val="1"/>
        </w:numPr>
        <w:spacing w:after="0" w:line="240" w:lineRule="auto"/>
        <w:rPr>
          <w:sz w:val="18"/>
          <w:szCs w:val="18"/>
        </w:rPr>
      </w:pPr>
      <w:r w:rsidRPr="0031748C">
        <w:rPr>
          <w:sz w:val="18"/>
          <w:szCs w:val="18"/>
        </w:rPr>
        <w:t>United Nations. World Population Prospects: The 20</w:t>
      </w:r>
      <w:r w:rsidR="003F165B">
        <w:rPr>
          <w:sz w:val="18"/>
          <w:szCs w:val="18"/>
        </w:rPr>
        <w:t>22</w:t>
      </w:r>
      <w:r w:rsidRPr="0031748C">
        <w:rPr>
          <w:sz w:val="18"/>
          <w:szCs w:val="18"/>
        </w:rPr>
        <w:t xml:space="preserve"> Revision. </w:t>
      </w:r>
      <w:r w:rsidR="009B4D95">
        <w:rPr>
          <w:sz w:val="18"/>
          <w:szCs w:val="18"/>
        </w:rPr>
        <w:t>https://population.un.org/wpp/</w:t>
      </w:r>
    </w:p>
    <w:p w14:paraId="4D9808DB" w14:textId="09D6E4FA" w:rsidR="00DC2303" w:rsidRPr="0031748C" w:rsidRDefault="00A34EF9" w:rsidP="00CF0175">
      <w:pPr>
        <w:pStyle w:val="ListParagraph"/>
        <w:numPr>
          <w:ilvl w:val="0"/>
          <w:numId w:val="1"/>
        </w:numPr>
        <w:spacing w:after="0" w:line="240" w:lineRule="auto"/>
        <w:rPr>
          <w:sz w:val="18"/>
          <w:szCs w:val="18"/>
        </w:rPr>
      </w:pPr>
      <w:r>
        <w:rPr>
          <w:sz w:val="18"/>
          <w:szCs w:val="18"/>
        </w:rPr>
        <w:t xml:space="preserve">Thiyagalingam S, Kulinski A et al. Dysphagia in older adults. </w:t>
      </w:r>
      <w:r w:rsidRPr="00A34EF9">
        <w:rPr>
          <w:i/>
          <w:iCs/>
          <w:sz w:val="18"/>
          <w:szCs w:val="18"/>
        </w:rPr>
        <w:t>Mayo Clin Proc</w:t>
      </w:r>
      <w:r>
        <w:rPr>
          <w:sz w:val="18"/>
          <w:szCs w:val="18"/>
        </w:rPr>
        <w:t>. 2021;96(2):488-497.</w:t>
      </w:r>
    </w:p>
    <w:p w14:paraId="4214F41F" w14:textId="1785BDB1" w:rsidR="003E0074" w:rsidRDefault="003E0074" w:rsidP="00CF0175">
      <w:pPr>
        <w:pStyle w:val="ListParagraph"/>
        <w:numPr>
          <w:ilvl w:val="0"/>
          <w:numId w:val="1"/>
        </w:numPr>
        <w:spacing w:after="0" w:line="240" w:lineRule="auto"/>
        <w:rPr>
          <w:sz w:val="18"/>
          <w:szCs w:val="18"/>
        </w:rPr>
      </w:pPr>
      <w:r w:rsidRPr="003E0074">
        <w:rPr>
          <w:sz w:val="18"/>
          <w:szCs w:val="18"/>
        </w:rPr>
        <w:t>Lo WL, Leu HB, Yang MC et al. Dysphagia and risk of aspiration pneumonia: a nonrandomized, pair-matched cohort study</w:t>
      </w:r>
      <w:r w:rsidRPr="003E0074">
        <w:rPr>
          <w:i/>
          <w:iCs/>
          <w:sz w:val="18"/>
          <w:szCs w:val="18"/>
        </w:rPr>
        <w:t>. J Dent Sci</w:t>
      </w:r>
      <w:r>
        <w:rPr>
          <w:sz w:val="18"/>
          <w:szCs w:val="18"/>
        </w:rPr>
        <w:t>. 2019;14(3):241-247.</w:t>
      </w:r>
    </w:p>
    <w:p w14:paraId="428936C8" w14:textId="3AA89207" w:rsidR="0031748C" w:rsidRPr="003E0074" w:rsidRDefault="0031748C" w:rsidP="00CF0175">
      <w:pPr>
        <w:pStyle w:val="ListParagraph"/>
        <w:numPr>
          <w:ilvl w:val="0"/>
          <w:numId w:val="1"/>
        </w:numPr>
        <w:spacing w:after="0" w:line="240" w:lineRule="auto"/>
        <w:rPr>
          <w:sz w:val="18"/>
          <w:szCs w:val="18"/>
        </w:rPr>
      </w:pPr>
      <w:r w:rsidRPr="003E0074">
        <w:rPr>
          <w:sz w:val="18"/>
          <w:szCs w:val="18"/>
        </w:rPr>
        <w:t xml:space="preserve">Leonard R et al. </w:t>
      </w:r>
      <w:r w:rsidR="003E0074">
        <w:rPr>
          <w:sz w:val="18"/>
          <w:szCs w:val="18"/>
        </w:rPr>
        <w:t xml:space="preserve">Effects of bolus rheology on aspiration in patients with dysphagia. </w:t>
      </w:r>
      <w:r w:rsidRPr="003E0074">
        <w:rPr>
          <w:i/>
          <w:iCs/>
          <w:sz w:val="18"/>
          <w:szCs w:val="18"/>
        </w:rPr>
        <w:t>J Acad Nutr Diet</w:t>
      </w:r>
      <w:r w:rsidRPr="003E0074">
        <w:rPr>
          <w:sz w:val="18"/>
          <w:szCs w:val="18"/>
        </w:rPr>
        <w:t>. 2014;114</w:t>
      </w:r>
      <w:r w:rsidR="003E0074">
        <w:rPr>
          <w:sz w:val="18"/>
          <w:szCs w:val="18"/>
        </w:rPr>
        <w:t>(4)</w:t>
      </w:r>
      <w:r w:rsidRPr="003E0074">
        <w:rPr>
          <w:sz w:val="18"/>
          <w:szCs w:val="18"/>
        </w:rPr>
        <w:t>:590-594.</w:t>
      </w:r>
    </w:p>
    <w:p w14:paraId="1771AA86" w14:textId="4DE1F68E" w:rsidR="0031748C" w:rsidRDefault="00663187" w:rsidP="00CF0175">
      <w:pPr>
        <w:pStyle w:val="ListParagraph"/>
        <w:numPr>
          <w:ilvl w:val="0"/>
          <w:numId w:val="1"/>
        </w:numPr>
        <w:spacing w:after="0" w:line="240" w:lineRule="auto"/>
        <w:rPr>
          <w:sz w:val="18"/>
          <w:szCs w:val="18"/>
        </w:rPr>
      </w:pPr>
      <w:r>
        <w:rPr>
          <w:sz w:val="18"/>
          <w:szCs w:val="18"/>
        </w:rPr>
        <w:t>Clav</w:t>
      </w:r>
      <w:r>
        <w:rPr>
          <w:rFonts w:cstheme="minorHAnsi"/>
          <w:sz w:val="18"/>
          <w:szCs w:val="18"/>
        </w:rPr>
        <w:t>é</w:t>
      </w:r>
      <w:r>
        <w:rPr>
          <w:sz w:val="18"/>
          <w:szCs w:val="18"/>
        </w:rPr>
        <w:t xml:space="preserve"> P, de Kraa M at al. The effect of bolus viscosity on swallowing function in neurogenic dysphagia. </w:t>
      </w:r>
      <w:r w:rsidRPr="00663187">
        <w:rPr>
          <w:i/>
          <w:iCs/>
          <w:sz w:val="18"/>
          <w:szCs w:val="18"/>
        </w:rPr>
        <w:t>Aliment Pharmacol Ther</w:t>
      </w:r>
      <w:r>
        <w:rPr>
          <w:sz w:val="18"/>
          <w:szCs w:val="18"/>
        </w:rPr>
        <w:t>. 2006;24:1385-94.</w:t>
      </w:r>
    </w:p>
    <w:p w14:paraId="70BC8AD0" w14:textId="36F8D269" w:rsidR="009F560B" w:rsidRPr="0031748C" w:rsidRDefault="00B95360" w:rsidP="00CF0175">
      <w:pPr>
        <w:pStyle w:val="ListParagraph"/>
        <w:numPr>
          <w:ilvl w:val="0"/>
          <w:numId w:val="1"/>
        </w:numPr>
        <w:spacing w:after="0" w:line="240" w:lineRule="auto"/>
        <w:rPr>
          <w:sz w:val="18"/>
          <w:szCs w:val="18"/>
        </w:rPr>
      </w:pPr>
      <w:r>
        <w:rPr>
          <w:sz w:val="18"/>
          <w:szCs w:val="18"/>
        </w:rPr>
        <w:t xml:space="preserve">Dessut </w:t>
      </w:r>
      <w:r w:rsidR="009F560B">
        <w:rPr>
          <w:sz w:val="18"/>
          <w:szCs w:val="18"/>
        </w:rPr>
        <w:t>Vieir</w:t>
      </w:r>
      <w:r>
        <w:rPr>
          <w:sz w:val="18"/>
          <w:szCs w:val="18"/>
        </w:rPr>
        <w:t xml:space="preserve">a D, Callegaro C et al. Changes in food consistency improve quality of life related to swallowing in post-stroke patients at risk of dysphagia. </w:t>
      </w:r>
      <w:r w:rsidRPr="00D96864">
        <w:rPr>
          <w:i/>
          <w:iCs/>
          <w:sz w:val="18"/>
          <w:szCs w:val="18"/>
        </w:rPr>
        <w:t>J</w:t>
      </w:r>
      <w:r w:rsidR="00D96864">
        <w:rPr>
          <w:i/>
          <w:iCs/>
          <w:sz w:val="18"/>
          <w:szCs w:val="18"/>
        </w:rPr>
        <w:t>ournal of</w:t>
      </w:r>
      <w:r w:rsidR="000D210F" w:rsidRPr="00D96864">
        <w:rPr>
          <w:i/>
          <w:iCs/>
          <w:sz w:val="18"/>
          <w:szCs w:val="18"/>
        </w:rPr>
        <w:t xml:space="preserve"> Food and Nutrition Research</w:t>
      </w:r>
      <w:r w:rsidR="000D210F">
        <w:rPr>
          <w:sz w:val="18"/>
          <w:szCs w:val="18"/>
        </w:rPr>
        <w:t>. 2018; 6(1):62-68.</w:t>
      </w:r>
    </w:p>
    <w:p w14:paraId="4AEC790D" w14:textId="77777777" w:rsidR="00DC2303" w:rsidRPr="00DC2303" w:rsidRDefault="00DC2303" w:rsidP="00C64E55">
      <w:pPr>
        <w:spacing w:after="0"/>
        <w:rPr>
          <w:color w:val="FF0000"/>
        </w:rPr>
      </w:pPr>
    </w:p>
    <w:p w14:paraId="03C42FB2" w14:textId="1866819B" w:rsidR="00C64E55" w:rsidRDefault="00C64E55" w:rsidP="00C64E55">
      <w:pPr>
        <w:spacing w:after="0"/>
      </w:pPr>
    </w:p>
    <w:p w14:paraId="2F86C4CB" w14:textId="77777777" w:rsidR="00C64E55" w:rsidRPr="00C64E55" w:rsidRDefault="00C64E55" w:rsidP="00C64E55"/>
    <w:sectPr w:rsidR="00C64E55" w:rsidRPr="00C64E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676D" w14:textId="77777777" w:rsidR="003B1F7B" w:rsidRDefault="003B1F7B" w:rsidP="0031748C">
      <w:pPr>
        <w:spacing w:after="0" w:line="240" w:lineRule="auto"/>
      </w:pPr>
      <w:r>
        <w:separator/>
      </w:r>
    </w:p>
  </w:endnote>
  <w:endnote w:type="continuationSeparator" w:id="0">
    <w:p w14:paraId="66CA882A" w14:textId="77777777" w:rsidR="003B1F7B" w:rsidRDefault="003B1F7B" w:rsidP="0031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63D7" w14:textId="77777777" w:rsidR="003B1F7B" w:rsidRDefault="003B1F7B" w:rsidP="0031748C">
      <w:pPr>
        <w:spacing w:after="0" w:line="240" w:lineRule="auto"/>
      </w:pPr>
      <w:r>
        <w:separator/>
      </w:r>
    </w:p>
  </w:footnote>
  <w:footnote w:type="continuationSeparator" w:id="0">
    <w:p w14:paraId="2AA820EF" w14:textId="77777777" w:rsidR="003B1F7B" w:rsidRDefault="003B1F7B" w:rsidP="00317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976FD"/>
    <w:multiLevelType w:val="hybridMultilevel"/>
    <w:tmpl w:val="A40A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55"/>
    <w:rsid w:val="00046765"/>
    <w:rsid w:val="00085090"/>
    <w:rsid w:val="000D210F"/>
    <w:rsid w:val="001D0553"/>
    <w:rsid w:val="001E1504"/>
    <w:rsid w:val="0031748C"/>
    <w:rsid w:val="003B1F7B"/>
    <w:rsid w:val="003E0074"/>
    <w:rsid w:val="003F165B"/>
    <w:rsid w:val="0047123C"/>
    <w:rsid w:val="005A3EC2"/>
    <w:rsid w:val="00663187"/>
    <w:rsid w:val="006F7865"/>
    <w:rsid w:val="00753666"/>
    <w:rsid w:val="00834332"/>
    <w:rsid w:val="009B03B1"/>
    <w:rsid w:val="009B4D95"/>
    <w:rsid w:val="009F560B"/>
    <w:rsid w:val="00A34EF9"/>
    <w:rsid w:val="00A7451E"/>
    <w:rsid w:val="00B657E0"/>
    <w:rsid w:val="00B95360"/>
    <w:rsid w:val="00C64E55"/>
    <w:rsid w:val="00CF0175"/>
    <w:rsid w:val="00D96864"/>
    <w:rsid w:val="00DC2303"/>
    <w:rsid w:val="00DD7315"/>
    <w:rsid w:val="00E3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4FD2B"/>
  <w15:chartTrackingRefBased/>
  <w15:docId w15:val="{5DA8F565-FA11-4EA2-A3A6-9DC6E374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303"/>
    <w:rPr>
      <w:color w:val="0563C1" w:themeColor="hyperlink"/>
      <w:u w:val="single"/>
    </w:rPr>
  </w:style>
  <w:style w:type="character" w:styleId="UnresolvedMention">
    <w:name w:val="Unresolved Mention"/>
    <w:basedOn w:val="DefaultParagraphFont"/>
    <w:uiPriority w:val="99"/>
    <w:semiHidden/>
    <w:unhideWhenUsed/>
    <w:rsid w:val="00DC2303"/>
    <w:rPr>
      <w:color w:val="605E5C"/>
      <w:shd w:val="clear" w:color="auto" w:fill="E1DFDD"/>
    </w:rPr>
  </w:style>
  <w:style w:type="character" w:styleId="FollowedHyperlink">
    <w:name w:val="FollowedHyperlink"/>
    <w:basedOn w:val="DefaultParagraphFont"/>
    <w:uiPriority w:val="99"/>
    <w:semiHidden/>
    <w:unhideWhenUsed/>
    <w:rsid w:val="00DC2303"/>
    <w:rPr>
      <w:color w:val="954F72" w:themeColor="followedHyperlink"/>
      <w:u w:val="single"/>
    </w:rPr>
  </w:style>
  <w:style w:type="paragraph" w:styleId="ListParagraph">
    <w:name w:val="List Paragraph"/>
    <w:basedOn w:val="Normal"/>
    <w:uiPriority w:val="34"/>
    <w:qFormat/>
    <w:rsid w:val="00DC2303"/>
    <w:pPr>
      <w:ind w:left="720"/>
      <w:contextualSpacing/>
    </w:pPr>
  </w:style>
  <w:style w:type="table" w:styleId="TableGrid">
    <w:name w:val="Table Grid"/>
    <w:basedOn w:val="TableNormal"/>
    <w:uiPriority w:val="39"/>
    <w:rsid w:val="0031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stlemedicalhub.com/products/thickenup-cle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Hamilton,Tanya,US-Bridgewater,External</dc:creator>
  <cp:keywords/>
  <dc:description/>
  <cp:lastModifiedBy>Hamilton,Tanya,US-Bridgewater,External</cp:lastModifiedBy>
  <cp:revision>3</cp:revision>
  <dcterms:created xsi:type="dcterms:W3CDTF">2023-03-09T15:24:00Z</dcterms:created>
  <dcterms:modified xsi:type="dcterms:W3CDTF">2023-03-23T20:15:00Z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2023-02-28T21:55:37Z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35efd800-7f68-4507-97a8-e5a9f0f8164d</vt:lpwstr>
  </property>
  <property fmtid="{D5CDD505-2E9C-101B-9397-08002B2CF9AE}" pid="8" name="MSIP_Label_1ada0a2f-b917-4d51-b0d0-d418a10c8b23_ContentBits">
    <vt:lpwstr>0</vt:lpwstr>
  </property>
</Properties>
</file>