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7F0B8" w14:textId="00AC7076" w:rsidR="00F02656" w:rsidRPr="00CF5B50" w:rsidRDefault="00223CFC" w:rsidP="00F02656">
      <w:pPr>
        <w:jc w:val="center"/>
        <w:rPr>
          <w:rFonts w:asciiTheme="minorHAnsi" w:hAnsiTheme="minorHAnsi" w:cstheme="minorHAnsi"/>
          <w:b/>
          <w:bCs/>
          <w:i/>
        </w:rPr>
      </w:pPr>
      <w:r w:rsidRPr="00CF5B50">
        <w:rPr>
          <w:rFonts w:asciiTheme="minorHAnsi" w:hAnsiTheme="minorHAnsi" w:cstheme="minorHAnsi"/>
          <w:b/>
          <w:bCs/>
          <w:i/>
        </w:rPr>
        <w:t xml:space="preserve">Letter of Medical Necessity </w:t>
      </w:r>
    </w:p>
    <w:p w14:paraId="1B27F0B9" w14:textId="77777777" w:rsidR="005B554D" w:rsidRPr="00223CFC" w:rsidRDefault="005B554D" w:rsidP="00F02656">
      <w:pPr>
        <w:jc w:val="center"/>
        <w:rPr>
          <w:rFonts w:asciiTheme="minorHAnsi" w:hAnsiTheme="minorHAnsi" w:cstheme="minorHAnsi"/>
          <w:b/>
          <w:bCs/>
        </w:rPr>
      </w:pPr>
    </w:p>
    <w:p w14:paraId="1B27F0BA" w14:textId="77777777" w:rsidR="00AE6A51" w:rsidRPr="00223CFC" w:rsidRDefault="00AE6A51">
      <w:pPr>
        <w:rPr>
          <w:rFonts w:asciiTheme="minorHAnsi" w:hAnsiTheme="minorHAnsi" w:cstheme="minorHAnsi"/>
        </w:rPr>
      </w:pPr>
      <w:r w:rsidRPr="00223CFC">
        <w:rPr>
          <w:rFonts w:asciiTheme="minorHAnsi" w:hAnsiTheme="minorHAnsi" w:cstheme="minorHAnsi"/>
        </w:rPr>
        <w:t>Date:</w:t>
      </w:r>
      <w:r w:rsidR="001C197E" w:rsidRPr="00223CFC">
        <w:rPr>
          <w:rFonts w:asciiTheme="minorHAnsi" w:hAnsiTheme="minorHAnsi" w:cstheme="minorHAnsi"/>
        </w:rPr>
        <w:t xml:space="preserve">   </w:t>
      </w:r>
      <w:bookmarkStart w:id="0" w:name="Text13"/>
      <w:r w:rsidR="000B0133" w:rsidRPr="00223CFC">
        <w:rPr>
          <w:rFonts w:asciiTheme="minorHAnsi" w:hAnsiTheme="minorHAnsi" w:cstheme="minorHAnsi"/>
          <w:i/>
        </w:rPr>
        <w:fldChar w:fldCharType="begin">
          <w:ffData>
            <w:name w:val="Text13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5B554D" w:rsidRPr="00223CFC">
        <w:rPr>
          <w:rFonts w:asciiTheme="minorHAnsi" w:hAnsiTheme="minorHAnsi" w:cstheme="minorHAnsi"/>
          <w:i/>
        </w:rPr>
        <w:instrText xml:space="preserve"> FORMTEXT </w:instrText>
      </w:r>
      <w:r w:rsidR="000B0133" w:rsidRPr="00223CFC">
        <w:rPr>
          <w:rFonts w:asciiTheme="minorHAnsi" w:hAnsiTheme="minorHAnsi" w:cstheme="minorHAnsi"/>
          <w:i/>
        </w:rPr>
      </w:r>
      <w:r w:rsidR="000B0133" w:rsidRPr="00223CFC">
        <w:rPr>
          <w:rFonts w:asciiTheme="minorHAnsi" w:hAnsiTheme="minorHAnsi" w:cstheme="minorHAnsi"/>
          <w:i/>
        </w:rPr>
        <w:fldChar w:fldCharType="separate"/>
      </w:r>
      <w:bookmarkStart w:id="1" w:name="_GoBack"/>
      <w:r w:rsidR="005B554D" w:rsidRPr="00223CFC">
        <w:rPr>
          <w:rFonts w:asciiTheme="minorHAnsi" w:hAnsiTheme="minorHAnsi" w:cstheme="minorHAnsi"/>
          <w:i/>
          <w:noProof/>
        </w:rPr>
        <w:t>Month, Day, Year</w:t>
      </w:r>
      <w:bookmarkEnd w:id="1"/>
      <w:r w:rsidR="000B0133" w:rsidRPr="00223CFC">
        <w:rPr>
          <w:rFonts w:asciiTheme="minorHAnsi" w:hAnsiTheme="minorHAnsi" w:cstheme="minorHAnsi"/>
          <w:i/>
        </w:rPr>
        <w:fldChar w:fldCharType="end"/>
      </w:r>
      <w:bookmarkEnd w:id="0"/>
    </w:p>
    <w:p w14:paraId="1B27F0BB" w14:textId="77777777" w:rsidR="004653F5" w:rsidRPr="00223CFC" w:rsidRDefault="004653F5">
      <w:pPr>
        <w:rPr>
          <w:rFonts w:asciiTheme="minorHAnsi" w:hAnsiTheme="minorHAnsi" w:cstheme="minorHAnsi"/>
        </w:rPr>
      </w:pPr>
    </w:p>
    <w:p w14:paraId="1B27F0BC" w14:textId="77777777" w:rsidR="001431B1" w:rsidRPr="00223CFC" w:rsidRDefault="004653F5">
      <w:pPr>
        <w:rPr>
          <w:rFonts w:asciiTheme="minorHAnsi" w:hAnsiTheme="minorHAnsi" w:cstheme="minorHAnsi"/>
          <w:i/>
          <w:iCs/>
        </w:rPr>
      </w:pPr>
      <w:r w:rsidRPr="00223CFC">
        <w:rPr>
          <w:rFonts w:asciiTheme="minorHAnsi" w:hAnsiTheme="minorHAnsi" w:cstheme="minorHAnsi"/>
        </w:rPr>
        <w:t>TO</w:t>
      </w:r>
      <w:r w:rsidR="00AE6A51" w:rsidRPr="00223CFC">
        <w:rPr>
          <w:rFonts w:asciiTheme="minorHAnsi" w:hAnsiTheme="minorHAnsi" w:cstheme="minorHAnsi"/>
        </w:rPr>
        <w:t xml:space="preserve">: </w:t>
      </w:r>
      <w:r w:rsidRPr="00223CFC">
        <w:rPr>
          <w:rFonts w:asciiTheme="minorHAnsi" w:hAnsiTheme="minorHAnsi" w:cstheme="minorHAnsi"/>
        </w:rPr>
        <w:t xml:space="preserve">       </w:t>
      </w:r>
      <w:bookmarkStart w:id="2" w:name="Text4"/>
      <w:r w:rsidR="000B0133" w:rsidRPr="00223CFC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30"/>
            </w:textInput>
          </w:ffData>
        </w:fldChar>
      </w:r>
      <w:r w:rsidR="005B554D" w:rsidRPr="00223CFC">
        <w:rPr>
          <w:rFonts w:asciiTheme="minorHAnsi" w:hAnsiTheme="minorHAnsi" w:cstheme="minorHAnsi"/>
          <w:i/>
        </w:rPr>
        <w:instrText xml:space="preserve"> FORMTEXT </w:instrText>
      </w:r>
      <w:r w:rsidR="000B0133" w:rsidRPr="00223CFC">
        <w:rPr>
          <w:rFonts w:asciiTheme="minorHAnsi" w:hAnsiTheme="minorHAnsi" w:cstheme="minorHAnsi"/>
          <w:i/>
        </w:rPr>
      </w:r>
      <w:r w:rsidR="000B0133" w:rsidRPr="00223CFC">
        <w:rPr>
          <w:rFonts w:asciiTheme="minorHAnsi" w:hAnsiTheme="minorHAnsi" w:cstheme="minorHAnsi"/>
          <w:i/>
        </w:rPr>
        <w:fldChar w:fldCharType="separate"/>
      </w:r>
      <w:r w:rsidR="005B554D" w:rsidRPr="00223CFC">
        <w:rPr>
          <w:rFonts w:asciiTheme="minorHAnsi" w:hAnsiTheme="minorHAnsi" w:cstheme="minorHAnsi"/>
          <w:i/>
          <w:noProof/>
        </w:rPr>
        <w:t>Insurance Company</w:t>
      </w:r>
      <w:r w:rsidR="000B0133" w:rsidRPr="00223CFC">
        <w:rPr>
          <w:rFonts w:asciiTheme="minorHAnsi" w:hAnsiTheme="minorHAnsi" w:cstheme="minorHAnsi"/>
          <w:i/>
        </w:rPr>
        <w:fldChar w:fldCharType="end"/>
      </w:r>
      <w:bookmarkEnd w:id="2"/>
    </w:p>
    <w:p w14:paraId="1B27F0BD" w14:textId="77777777" w:rsidR="00AE6A51" w:rsidRPr="00223CFC" w:rsidRDefault="004653F5">
      <w:pPr>
        <w:rPr>
          <w:rFonts w:asciiTheme="minorHAnsi" w:hAnsiTheme="minorHAnsi" w:cstheme="minorHAnsi"/>
          <w:i/>
          <w:iCs/>
        </w:rPr>
      </w:pPr>
      <w:r w:rsidRPr="00223CFC">
        <w:rPr>
          <w:rFonts w:asciiTheme="minorHAnsi" w:hAnsiTheme="minorHAnsi" w:cstheme="minorHAnsi"/>
        </w:rPr>
        <w:t>FROM</w:t>
      </w:r>
      <w:r w:rsidR="00AE6A51" w:rsidRPr="00223CFC">
        <w:rPr>
          <w:rFonts w:asciiTheme="minorHAnsi" w:hAnsiTheme="minorHAnsi" w:cstheme="minorHAnsi"/>
        </w:rPr>
        <w:t>:</w:t>
      </w:r>
      <w:r w:rsidR="001C197E" w:rsidRPr="00223CFC">
        <w:rPr>
          <w:rFonts w:asciiTheme="minorHAnsi" w:hAnsiTheme="minorHAnsi" w:cstheme="minorHAnsi"/>
        </w:rPr>
        <w:t xml:space="preserve">  </w:t>
      </w:r>
      <w:bookmarkStart w:id="3" w:name="Text14"/>
      <w:r w:rsidR="000B0133" w:rsidRPr="00223CFC">
        <w:rPr>
          <w:rFonts w:asciiTheme="minorHAnsi" w:hAnsiTheme="minorHAnsi" w:cstheme="minorHAnsi"/>
          <w:i/>
        </w:rPr>
        <w:fldChar w:fldCharType="begin">
          <w:ffData>
            <w:name w:val="Text14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5B554D" w:rsidRPr="00223CFC">
        <w:rPr>
          <w:rFonts w:asciiTheme="minorHAnsi" w:hAnsiTheme="minorHAnsi" w:cstheme="minorHAnsi"/>
          <w:i/>
        </w:rPr>
        <w:instrText xml:space="preserve"> FORMTEXT </w:instrText>
      </w:r>
      <w:r w:rsidR="000B0133" w:rsidRPr="00223CFC">
        <w:rPr>
          <w:rFonts w:asciiTheme="minorHAnsi" w:hAnsiTheme="minorHAnsi" w:cstheme="minorHAnsi"/>
          <w:i/>
        </w:rPr>
      </w:r>
      <w:r w:rsidR="000B0133" w:rsidRPr="00223CFC">
        <w:rPr>
          <w:rFonts w:asciiTheme="minorHAnsi" w:hAnsiTheme="minorHAnsi" w:cstheme="minorHAnsi"/>
          <w:i/>
        </w:rPr>
        <w:fldChar w:fldCharType="separate"/>
      </w:r>
      <w:r w:rsidR="005B554D" w:rsidRPr="00223CFC">
        <w:rPr>
          <w:rFonts w:asciiTheme="minorHAnsi" w:hAnsiTheme="minorHAnsi" w:cstheme="minorHAnsi"/>
          <w:i/>
          <w:noProof/>
        </w:rPr>
        <w:t>Physician Name</w:t>
      </w:r>
      <w:r w:rsidR="000B0133" w:rsidRPr="00223CFC">
        <w:rPr>
          <w:rFonts w:asciiTheme="minorHAnsi" w:hAnsiTheme="minorHAnsi" w:cstheme="minorHAnsi"/>
          <w:i/>
        </w:rPr>
        <w:fldChar w:fldCharType="end"/>
      </w:r>
      <w:bookmarkEnd w:id="3"/>
    </w:p>
    <w:p w14:paraId="1B27F0BE" w14:textId="77777777" w:rsidR="00AE6A51" w:rsidRPr="00223CFC" w:rsidRDefault="00AE6A51">
      <w:pPr>
        <w:rPr>
          <w:rFonts w:asciiTheme="minorHAnsi" w:hAnsiTheme="minorHAnsi" w:cstheme="minorHAnsi"/>
        </w:rPr>
      </w:pPr>
    </w:p>
    <w:p w14:paraId="1B27F0BF" w14:textId="77777777" w:rsidR="00AE6A51" w:rsidRPr="00223CFC" w:rsidRDefault="00AE6A51" w:rsidP="00475D4B">
      <w:pPr>
        <w:rPr>
          <w:rFonts w:asciiTheme="minorHAnsi" w:hAnsiTheme="minorHAnsi" w:cstheme="minorHAnsi"/>
        </w:rPr>
      </w:pPr>
      <w:r w:rsidRPr="00223CFC">
        <w:rPr>
          <w:rFonts w:asciiTheme="minorHAnsi" w:hAnsiTheme="minorHAnsi" w:cstheme="minorHAnsi"/>
        </w:rPr>
        <w:t xml:space="preserve">SUBJECT:  Request </w:t>
      </w:r>
      <w:r w:rsidR="008A1836" w:rsidRPr="00223CFC">
        <w:rPr>
          <w:rFonts w:asciiTheme="minorHAnsi" w:hAnsiTheme="minorHAnsi" w:cstheme="minorHAnsi"/>
        </w:rPr>
        <w:t xml:space="preserve">for </w:t>
      </w:r>
      <w:r w:rsidR="001431B1" w:rsidRPr="00223CFC">
        <w:rPr>
          <w:rFonts w:asciiTheme="minorHAnsi" w:hAnsiTheme="minorHAnsi" w:cstheme="minorHAnsi"/>
        </w:rPr>
        <w:t xml:space="preserve">coverage/ </w:t>
      </w:r>
      <w:r w:rsidR="007C538A" w:rsidRPr="00223CFC">
        <w:rPr>
          <w:rFonts w:asciiTheme="minorHAnsi" w:hAnsiTheme="minorHAnsi" w:cstheme="minorHAnsi"/>
        </w:rPr>
        <w:t>r</w:t>
      </w:r>
      <w:r w:rsidR="00CF5F35" w:rsidRPr="00223CFC">
        <w:rPr>
          <w:rFonts w:asciiTheme="minorHAnsi" w:hAnsiTheme="minorHAnsi" w:cstheme="minorHAnsi"/>
        </w:rPr>
        <w:t>eimbursement for Resource</w:t>
      </w:r>
      <w:r w:rsidR="00CF5F35" w:rsidRPr="00223CFC">
        <w:rPr>
          <w:rFonts w:asciiTheme="minorHAnsi" w:hAnsiTheme="minorHAnsi" w:cstheme="minorHAnsi"/>
          <w:b/>
        </w:rPr>
        <w:t>®</w:t>
      </w:r>
      <w:r w:rsidR="00CF5F35" w:rsidRPr="00223CFC">
        <w:rPr>
          <w:rFonts w:asciiTheme="minorHAnsi" w:hAnsiTheme="minorHAnsi" w:cstheme="minorHAnsi"/>
        </w:rPr>
        <w:t xml:space="preserve"> ThickenUp® </w:t>
      </w:r>
      <w:r w:rsidR="009D3724" w:rsidRPr="00223CFC">
        <w:rPr>
          <w:rFonts w:asciiTheme="minorHAnsi" w:hAnsiTheme="minorHAnsi" w:cstheme="minorHAnsi"/>
        </w:rPr>
        <w:t xml:space="preserve">Clear </w:t>
      </w:r>
      <w:r w:rsidR="00CF5F35" w:rsidRPr="00223CFC">
        <w:rPr>
          <w:rFonts w:asciiTheme="minorHAnsi" w:hAnsiTheme="minorHAnsi" w:cstheme="minorHAnsi"/>
        </w:rPr>
        <w:t>powder</w:t>
      </w:r>
      <w:r w:rsidR="00475D4B" w:rsidRPr="00223CFC">
        <w:rPr>
          <w:rFonts w:asciiTheme="minorHAnsi" w:hAnsiTheme="minorHAnsi" w:cstheme="minorHAnsi"/>
        </w:rPr>
        <w:t>.</w:t>
      </w:r>
    </w:p>
    <w:p w14:paraId="1B27F0C0" w14:textId="77777777" w:rsidR="00AE6A51" w:rsidRPr="00223CFC" w:rsidRDefault="00AE6A51">
      <w:pPr>
        <w:rPr>
          <w:rFonts w:asciiTheme="minorHAnsi" w:hAnsiTheme="minorHAnsi" w:cstheme="minorHAnsi"/>
          <w:u w:val="single"/>
        </w:rPr>
      </w:pPr>
    </w:p>
    <w:p w14:paraId="1B27F0C1" w14:textId="77777777" w:rsidR="00526DBE" w:rsidRPr="00223CFC" w:rsidRDefault="00944A32" w:rsidP="00173D20">
      <w:pPr>
        <w:rPr>
          <w:rFonts w:asciiTheme="minorHAnsi" w:hAnsiTheme="minorHAnsi" w:cstheme="minorHAnsi"/>
          <w:i/>
          <w:iCs/>
        </w:rPr>
      </w:pPr>
      <w:r w:rsidRPr="00223CFC">
        <w:rPr>
          <w:rFonts w:asciiTheme="minorHAnsi" w:hAnsiTheme="minorHAnsi" w:cstheme="minorHAnsi"/>
        </w:rPr>
        <w:t>I am requesting insurance coverage</w:t>
      </w:r>
      <w:r w:rsidR="00526DBE" w:rsidRPr="00223CFC">
        <w:rPr>
          <w:rFonts w:asciiTheme="minorHAnsi" w:hAnsiTheme="minorHAnsi" w:cstheme="minorHAnsi"/>
        </w:rPr>
        <w:t xml:space="preserve"> and</w:t>
      </w:r>
      <w:r w:rsidRPr="00223CFC">
        <w:rPr>
          <w:rFonts w:asciiTheme="minorHAnsi" w:hAnsiTheme="minorHAnsi" w:cstheme="minorHAnsi"/>
        </w:rPr>
        <w:t xml:space="preserve"> reimbursement </w:t>
      </w:r>
      <w:r w:rsidR="00526DBE" w:rsidRPr="00223CFC">
        <w:rPr>
          <w:rFonts w:asciiTheme="minorHAnsi" w:hAnsiTheme="minorHAnsi" w:cstheme="minorHAnsi"/>
        </w:rPr>
        <w:t>on behalf of my</w:t>
      </w:r>
      <w:r w:rsidRPr="00223CFC">
        <w:rPr>
          <w:rFonts w:asciiTheme="minorHAnsi" w:hAnsiTheme="minorHAnsi" w:cstheme="minorHAnsi"/>
        </w:rPr>
        <w:t xml:space="preserve"> patient</w:t>
      </w:r>
      <w:r w:rsidR="00526DBE" w:rsidRPr="00223CFC">
        <w:rPr>
          <w:rFonts w:asciiTheme="minorHAnsi" w:hAnsiTheme="minorHAnsi" w:cstheme="minorHAnsi"/>
        </w:rPr>
        <w:t xml:space="preserve">, </w:t>
      </w:r>
      <w:bookmarkStart w:id="4" w:name="Text6"/>
      <w:r w:rsidR="000B0133" w:rsidRPr="00223CFC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5B554D" w:rsidRPr="00223CFC">
        <w:rPr>
          <w:rFonts w:asciiTheme="minorHAnsi" w:hAnsiTheme="minorHAnsi" w:cstheme="minorHAnsi"/>
          <w:i/>
        </w:rPr>
        <w:instrText xml:space="preserve"> FORMTEXT </w:instrText>
      </w:r>
      <w:r w:rsidR="000B0133" w:rsidRPr="00223CFC">
        <w:rPr>
          <w:rFonts w:asciiTheme="minorHAnsi" w:hAnsiTheme="minorHAnsi" w:cstheme="minorHAnsi"/>
          <w:i/>
        </w:rPr>
      </w:r>
      <w:r w:rsidR="000B0133" w:rsidRPr="00223CFC">
        <w:rPr>
          <w:rFonts w:asciiTheme="minorHAnsi" w:hAnsiTheme="minorHAnsi" w:cstheme="minorHAnsi"/>
          <w:i/>
        </w:rPr>
        <w:fldChar w:fldCharType="separate"/>
      </w:r>
      <w:r w:rsidR="005B554D" w:rsidRPr="00223CFC">
        <w:rPr>
          <w:rFonts w:asciiTheme="minorHAnsi" w:hAnsiTheme="minorHAnsi" w:cstheme="minorHAnsi"/>
          <w:i/>
          <w:noProof/>
        </w:rPr>
        <w:t>Name/Date of Birth</w:t>
      </w:r>
      <w:r w:rsidR="000B0133" w:rsidRPr="00223CFC">
        <w:rPr>
          <w:rFonts w:asciiTheme="minorHAnsi" w:hAnsiTheme="minorHAnsi" w:cstheme="minorHAnsi"/>
          <w:i/>
        </w:rPr>
        <w:fldChar w:fldCharType="end"/>
      </w:r>
      <w:bookmarkEnd w:id="4"/>
      <w:r w:rsidR="00526DBE" w:rsidRPr="00223CFC">
        <w:rPr>
          <w:rFonts w:asciiTheme="minorHAnsi" w:hAnsiTheme="minorHAnsi" w:cstheme="minorHAnsi"/>
          <w:b/>
          <w:bCs/>
          <w:i/>
          <w:iCs/>
        </w:rPr>
        <w:t>.</w:t>
      </w:r>
      <w:r w:rsidR="00526DBE" w:rsidRPr="00223CFC">
        <w:rPr>
          <w:rFonts w:asciiTheme="minorHAnsi" w:hAnsiTheme="minorHAnsi" w:cstheme="minorHAnsi"/>
          <w:i/>
          <w:iCs/>
        </w:rPr>
        <w:t xml:space="preserve"> </w:t>
      </w:r>
      <w:r w:rsidR="007C538A" w:rsidRPr="00223CFC">
        <w:rPr>
          <w:rFonts w:asciiTheme="minorHAnsi" w:hAnsiTheme="minorHAnsi" w:cstheme="minorHAnsi"/>
        </w:rPr>
        <w:t>I</w:t>
      </w:r>
      <w:r w:rsidR="009D3724" w:rsidRPr="00223CFC">
        <w:rPr>
          <w:rFonts w:asciiTheme="minorHAnsi" w:hAnsiTheme="minorHAnsi" w:cstheme="minorHAnsi"/>
        </w:rPr>
        <w:t xml:space="preserve"> have prescribed Resource® ThickenUp® Clear powder</w:t>
      </w:r>
      <w:r w:rsidR="00707F7C" w:rsidRPr="00223CFC">
        <w:rPr>
          <w:rFonts w:asciiTheme="minorHAnsi" w:hAnsiTheme="minorHAnsi" w:cstheme="minorHAnsi"/>
        </w:rPr>
        <w:t xml:space="preserve"> </w:t>
      </w:r>
      <w:r w:rsidR="00F02656" w:rsidRPr="00223CFC">
        <w:rPr>
          <w:rFonts w:asciiTheme="minorHAnsi" w:hAnsiTheme="minorHAnsi" w:cstheme="minorHAnsi"/>
        </w:rPr>
        <w:t>m</w:t>
      </w:r>
      <w:r w:rsidR="00526DBE" w:rsidRPr="00223CFC">
        <w:rPr>
          <w:rFonts w:asciiTheme="minorHAnsi" w:hAnsiTheme="minorHAnsi" w:cstheme="minorHAnsi"/>
        </w:rPr>
        <w:t>anufactured by Nestlé</w:t>
      </w:r>
      <w:r w:rsidR="002178B8" w:rsidRPr="00223CFC">
        <w:rPr>
          <w:rFonts w:asciiTheme="minorHAnsi" w:hAnsiTheme="minorHAnsi" w:cstheme="minorHAnsi"/>
        </w:rPr>
        <w:t xml:space="preserve"> </w:t>
      </w:r>
      <w:r w:rsidR="00526DBE" w:rsidRPr="00223CFC">
        <w:rPr>
          <w:rFonts w:asciiTheme="minorHAnsi" w:hAnsiTheme="minorHAnsi" w:cstheme="minorHAnsi"/>
        </w:rPr>
        <w:t>HealthCar</w:t>
      </w:r>
      <w:r w:rsidR="006678CB" w:rsidRPr="00223CFC">
        <w:rPr>
          <w:rFonts w:asciiTheme="minorHAnsi" w:hAnsiTheme="minorHAnsi" w:cstheme="minorHAnsi"/>
        </w:rPr>
        <w:t>e Nutrition Inc. as a food and beverage thickening agent to help provide swallowing support in connection with</w:t>
      </w:r>
      <w:r w:rsidR="00526DBE" w:rsidRPr="00223CFC">
        <w:rPr>
          <w:rFonts w:asciiTheme="minorHAnsi" w:hAnsiTheme="minorHAnsi" w:cstheme="minorHAnsi"/>
        </w:rPr>
        <w:t xml:space="preserve"> </w:t>
      </w:r>
      <w:r w:rsidR="000B0133" w:rsidRPr="00223CFC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5B554D" w:rsidRPr="00223CFC">
        <w:rPr>
          <w:rFonts w:asciiTheme="minorHAnsi" w:hAnsiTheme="minorHAnsi" w:cstheme="minorHAnsi"/>
          <w:i/>
        </w:rPr>
        <w:instrText xml:space="preserve"> FORMTEXT </w:instrText>
      </w:r>
      <w:r w:rsidR="000B0133" w:rsidRPr="00223CFC">
        <w:rPr>
          <w:rFonts w:asciiTheme="minorHAnsi" w:hAnsiTheme="minorHAnsi" w:cstheme="minorHAnsi"/>
          <w:i/>
        </w:rPr>
      </w:r>
      <w:r w:rsidR="000B0133" w:rsidRPr="00223CFC">
        <w:rPr>
          <w:rFonts w:asciiTheme="minorHAnsi" w:hAnsiTheme="minorHAnsi" w:cstheme="minorHAnsi"/>
          <w:i/>
        </w:rPr>
        <w:fldChar w:fldCharType="separate"/>
      </w:r>
      <w:r w:rsidR="005B554D" w:rsidRPr="00223CFC">
        <w:rPr>
          <w:rFonts w:asciiTheme="minorHAnsi" w:hAnsiTheme="minorHAnsi" w:cstheme="minorHAnsi"/>
          <w:i/>
          <w:noProof/>
        </w:rPr>
        <w:t>Diagnosis or Condition</w:t>
      </w:r>
      <w:r w:rsidR="000B0133" w:rsidRPr="00223CFC">
        <w:rPr>
          <w:rFonts w:asciiTheme="minorHAnsi" w:hAnsiTheme="minorHAnsi" w:cstheme="minorHAnsi"/>
          <w:i/>
        </w:rPr>
        <w:fldChar w:fldCharType="end"/>
      </w:r>
      <w:r w:rsidR="00526DBE" w:rsidRPr="00223CFC">
        <w:rPr>
          <w:rFonts w:asciiTheme="minorHAnsi" w:hAnsiTheme="minorHAnsi" w:cstheme="minorHAnsi"/>
          <w:i/>
          <w:iCs/>
        </w:rPr>
        <w:t>.</w:t>
      </w:r>
    </w:p>
    <w:p w14:paraId="1B27F0C2" w14:textId="77777777" w:rsidR="00526DBE" w:rsidRPr="00223CFC" w:rsidRDefault="00526DBE" w:rsidP="00526DBE">
      <w:pPr>
        <w:rPr>
          <w:rFonts w:asciiTheme="minorHAnsi" w:hAnsiTheme="minorHAnsi" w:cstheme="minorHAnsi"/>
          <w:i/>
          <w:iCs/>
        </w:rPr>
      </w:pPr>
    </w:p>
    <w:bookmarkStart w:id="5" w:name="Text9"/>
    <w:p w14:paraId="1B27F0C3" w14:textId="77777777" w:rsidR="008133E6" w:rsidRPr="00223CFC" w:rsidRDefault="000B0133" w:rsidP="00BD1AF0">
      <w:pPr>
        <w:rPr>
          <w:rFonts w:asciiTheme="minorHAnsi" w:hAnsiTheme="minorHAnsi" w:cstheme="minorHAnsi"/>
          <w:i/>
        </w:rPr>
      </w:pPr>
      <w:r w:rsidRPr="00223CFC">
        <w:rPr>
          <w:rFonts w:asciiTheme="minorHAnsi" w:hAnsiTheme="minorHAnsi" w:cstheme="minorHAnsi"/>
          <w:i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="005B554D" w:rsidRPr="00223CFC">
        <w:rPr>
          <w:rFonts w:asciiTheme="minorHAnsi" w:hAnsiTheme="minorHAnsi" w:cstheme="minorHAnsi"/>
          <w:i/>
        </w:rPr>
        <w:instrText xml:space="preserve"> FORMTEXT </w:instrText>
      </w:r>
      <w:r w:rsidRPr="00223CFC">
        <w:rPr>
          <w:rFonts w:asciiTheme="minorHAnsi" w:hAnsiTheme="minorHAnsi" w:cstheme="minorHAnsi"/>
          <w:i/>
        </w:rPr>
      </w:r>
      <w:r w:rsidRPr="00223CFC">
        <w:rPr>
          <w:rFonts w:asciiTheme="minorHAnsi" w:hAnsiTheme="minorHAnsi" w:cstheme="minorHAnsi"/>
          <w:i/>
        </w:rPr>
        <w:fldChar w:fldCharType="separate"/>
      </w:r>
      <w:r w:rsidR="005B554D" w:rsidRPr="00223CFC">
        <w:rPr>
          <w:rFonts w:asciiTheme="minorHAnsi" w:hAnsiTheme="minorHAnsi" w:cstheme="minorHAnsi"/>
          <w:i/>
          <w:noProof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223CFC">
        <w:rPr>
          <w:rFonts w:asciiTheme="minorHAnsi" w:hAnsiTheme="minorHAnsi" w:cstheme="minorHAnsi"/>
          <w:i/>
        </w:rPr>
        <w:fldChar w:fldCharType="end"/>
      </w:r>
      <w:bookmarkEnd w:id="5"/>
      <w:r w:rsidR="008133E6" w:rsidRPr="00223CFC">
        <w:rPr>
          <w:rFonts w:asciiTheme="minorHAnsi" w:hAnsiTheme="minorHAnsi" w:cstheme="minorHAnsi"/>
          <w:i/>
          <w:color w:val="FF0000"/>
        </w:rPr>
        <w:t xml:space="preserve">  </w:t>
      </w:r>
    </w:p>
    <w:p w14:paraId="1B27F0C4" w14:textId="77777777" w:rsidR="008133E6" w:rsidRPr="00223CFC" w:rsidRDefault="008133E6" w:rsidP="00BD1AF0">
      <w:pPr>
        <w:rPr>
          <w:rFonts w:asciiTheme="minorHAnsi" w:hAnsiTheme="minorHAnsi" w:cstheme="minorHAnsi"/>
        </w:rPr>
      </w:pPr>
    </w:p>
    <w:p w14:paraId="1B27F0C5" w14:textId="77777777" w:rsidR="005E79B7" w:rsidRPr="00223CFC" w:rsidRDefault="00CF5F35" w:rsidP="00BD1AF0">
      <w:pPr>
        <w:rPr>
          <w:rFonts w:asciiTheme="minorHAnsi" w:hAnsiTheme="minorHAnsi" w:cstheme="minorHAnsi"/>
        </w:rPr>
      </w:pPr>
      <w:r w:rsidRPr="00223CFC">
        <w:rPr>
          <w:rFonts w:asciiTheme="minorHAnsi" w:hAnsiTheme="minorHAnsi" w:cstheme="minorHAnsi"/>
        </w:rPr>
        <w:t xml:space="preserve">Resource® ThickenUp® </w:t>
      </w:r>
      <w:r w:rsidR="00F52753" w:rsidRPr="00223CFC">
        <w:rPr>
          <w:rFonts w:asciiTheme="minorHAnsi" w:hAnsiTheme="minorHAnsi" w:cstheme="minorHAnsi"/>
        </w:rPr>
        <w:t xml:space="preserve">Clear </w:t>
      </w:r>
      <w:r w:rsidRPr="00223CFC">
        <w:rPr>
          <w:rFonts w:asciiTheme="minorHAnsi" w:hAnsiTheme="minorHAnsi" w:cstheme="minorHAnsi"/>
        </w:rPr>
        <w:t>powder</w:t>
      </w:r>
      <w:r w:rsidR="00707F7C" w:rsidRPr="00223CFC">
        <w:rPr>
          <w:rFonts w:asciiTheme="minorHAnsi" w:hAnsiTheme="minorHAnsi" w:cstheme="minorHAnsi"/>
        </w:rPr>
        <w:t xml:space="preserve"> </w:t>
      </w:r>
      <w:r w:rsidRPr="00223CFC">
        <w:rPr>
          <w:rFonts w:asciiTheme="minorHAnsi" w:hAnsiTheme="minorHAnsi" w:cstheme="minorHAnsi"/>
        </w:rPr>
        <w:t xml:space="preserve">is an instant food and drink thickening powder for </w:t>
      </w:r>
      <w:r w:rsidR="008133E6" w:rsidRPr="00223CFC">
        <w:rPr>
          <w:rFonts w:asciiTheme="minorHAnsi" w:hAnsiTheme="minorHAnsi" w:cstheme="minorHAnsi"/>
        </w:rPr>
        <w:t xml:space="preserve">adults and </w:t>
      </w:r>
      <w:r w:rsidRPr="00223CFC">
        <w:rPr>
          <w:rFonts w:asciiTheme="minorHAnsi" w:hAnsiTheme="minorHAnsi" w:cstheme="minorHAnsi"/>
        </w:rPr>
        <w:t>children</w:t>
      </w:r>
      <w:r w:rsidR="001F360E" w:rsidRPr="00223CFC">
        <w:rPr>
          <w:rFonts w:asciiTheme="minorHAnsi" w:hAnsiTheme="minorHAnsi" w:cstheme="minorHAnsi"/>
        </w:rPr>
        <w:t xml:space="preserve"> </w:t>
      </w:r>
      <w:r w:rsidR="008133E6" w:rsidRPr="00223CFC">
        <w:rPr>
          <w:rFonts w:asciiTheme="minorHAnsi" w:hAnsiTheme="minorHAnsi" w:cstheme="minorHAnsi"/>
        </w:rPr>
        <w:t>over the age of three</w:t>
      </w:r>
      <w:r w:rsidR="00F71930" w:rsidRPr="00223CFC">
        <w:rPr>
          <w:rFonts w:asciiTheme="minorHAnsi" w:hAnsiTheme="minorHAnsi" w:cstheme="minorHAnsi"/>
        </w:rPr>
        <w:t>.</w:t>
      </w:r>
      <w:r w:rsidR="001431B1" w:rsidRPr="00223CFC">
        <w:rPr>
          <w:rFonts w:asciiTheme="minorHAnsi" w:hAnsiTheme="minorHAnsi" w:cstheme="minorHAnsi"/>
        </w:rPr>
        <w:t xml:space="preserve"> This product is intended for the</w:t>
      </w:r>
      <w:r w:rsidR="00DF50EC" w:rsidRPr="00223CFC">
        <w:rPr>
          <w:rFonts w:asciiTheme="minorHAnsi" w:hAnsiTheme="minorHAnsi" w:cstheme="minorHAnsi"/>
        </w:rPr>
        <w:t xml:space="preserve"> nutritional management of </w:t>
      </w:r>
      <w:r w:rsidR="00F344E0" w:rsidRPr="00223CFC">
        <w:rPr>
          <w:rFonts w:asciiTheme="minorHAnsi" w:hAnsiTheme="minorHAnsi" w:cstheme="minorHAnsi"/>
        </w:rPr>
        <w:t xml:space="preserve">patients </w:t>
      </w:r>
      <w:r w:rsidR="001431B1" w:rsidRPr="00223CFC">
        <w:rPr>
          <w:rFonts w:asciiTheme="minorHAnsi" w:hAnsiTheme="minorHAnsi" w:cstheme="minorHAnsi"/>
        </w:rPr>
        <w:t xml:space="preserve">with </w:t>
      </w:r>
      <w:r w:rsidRPr="00223CFC">
        <w:rPr>
          <w:rFonts w:asciiTheme="minorHAnsi" w:hAnsiTheme="minorHAnsi" w:cstheme="minorHAnsi"/>
        </w:rPr>
        <w:t xml:space="preserve">dysphagia, who </w:t>
      </w:r>
      <w:r w:rsidR="006678CB" w:rsidRPr="00223CFC">
        <w:rPr>
          <w:rFonts w:asciiTheme="minorHAnsi" w:hAnsiTheme="minorHAnsi" w:cstheme="minorHAnsi"/>
        </w:rPr>
        <w:t xml:space="preserve">may </w:t>
      </w:r>
      <w:r w:rsidRPr="00223CFC">
        <w:rPr>
          <w:rFonts w:asciiTheme="minorHAnsi" w:hAnsiTheme="minorHAnsi" w:cstheme="minorHAnsi"/>
        </w:rPr>
        <w:t xml:space="preserve">require </w:t>
      </w:r>
      <w:r w:rsidR="009D3738" w:rsidRPr="00223CFC">
        <w:rPr>
          <w:rFonts w:asciiTheme="minorHAnsi" w:hAnsiTheme="minorHAnsi" w:cstheme="minorHAnsi"/>
        </w:rPr>
        <w:t>a thickening agent to provide swallowing support.</w:t>
      </w:r>
      <w:r w:rsidR="00190F8F" w:rsidRPr="00223CFC">
        <w:rPr>
          <w:rFonts w:asciiTheme="minorHAnsi" w:hAnsiTheme="minorHAnsi" w:cstheme="minorHAnsi"/>
        </w:rPr>
        <w:t xml:space="preserve">  </w:t>
      </w:r>
    </w:p>
    <w:p w14:paraId="1B27F0C6" w14:textId="77777777" w:rsidR="000104FD" w:rsidRPr="00223CFC" w:rsidRDefault="000104FD" w:rsidP="001C197E">
      <w:pPr>
        <w:rPr>
          <w:rFonts w:asciiTheme="minorHAnsi" w:hAnsiTheme="minorHAnsi" w:cstheme="minorHAnsi"/>
        </w:rPr>
      </w:pPr>
    </w:p>
    <w:p w14:paraId="1B27F0C7" w14:textId="5F88478E" w:rsidR="0073511B" w:rsidRPr="00223CFC" w:rsidRDefault="00F52753" w:rsidP="00087A0E">
      <w:pPr>
        <w:rPr>
          <w:rFonts w:asciiTheme="minorHAnsi" w:hAnsiTheme="minorHAnsi" w:cstheme="minorHAnsi"/>
        </w:rPr>
      </w:pPr>
      <w:r w:rsidRPr="00223CFC">
        <w:rPr>
          <w:rFonts w:asciiTheme="minorHAnsi" w:hAnsiTheme="minorHAnsi" w:cstheme="minorHAnsi"/>
        </w:rPr>
        <w:t>Resource® ThickenUp® Clear po</w:t>
      </w:r>
      <w:r w:rsidR="00CF5B50">
        <w:rPr>
          <w:rFonts w:asciiTheme="minorHAnsi" w:hAnsiTheme="minorHAnsi" w:cstheme="minorHAnsi"/>
        </w:rPr>
        <w:t xml:space="preserve">wder is a clear, </w:t>
      </w:r>
      <w:r w:rsidRPr="00223CFC">
        <w:rPr>
          <w:rFonts w:asciiTheme="minorHAnsi" w:hAnsiTheme="minorHAnsi" w:cstheme="minorHAnsi"/>
        </w:rPr>
        <w:t>easy-to-use</w:t>
      </w:r>
      <w:r w:rsidR="00CF5B50">
        <w:rPr>
          <w:rFonts w:asciiTheme="minorHAnsi" w:hAnsiTheme="minorHAnsi" w:cstheme="minorHAnsi"/>
        </w:rPr>
        <w:t>,</w:t>
      </w:r>
      <w:r w:rsidRPr="00223CFC">
        <w:rPr>
          <w:rFonts w:asciiTheme="minorHAnsi" w:hAnsiTheme="minorHAnsi" w:cstheme="minorHAnsi"/>
        </w:rPr>
        <w:t xml:space="preserve"> thickening agent to provide swallowing support for people with dysphagia.  </w:t>
      </w:r>
      <w:r w:rsidR="00F71930" w:rsidRPr="00223CFC">
        <w:rPr>
          <w:rFonts w:asciiTheme="minorHAnsi" w:hAnsiTheme="minorHAnsi" w:cstheme="minorHAnsi"/>
        </w:rPr>
        <w:t xml:space="preserve">The product can be used in a wide range of </w:t>
      </w:r>
      <w:r w:rsidR="00CF5B50">
        <w:rPr>
          <w:rFonts w:asciiTheme="minorHAnsi" w:hAnsiTheme="minorHAnsi" w:cstheme="minorHAnsi"/>
        </w:rPr>
        <w:t xml:space="preserve">hot or cold </w:t>
      </w:r>
      <w:r w:rsidR="00F71930" w:rsidRPr="00223CFC">
        <w:rPr>
          <w:rFonts w:asciiTheme="minorHAnsi" w:hAnsiTheme="minorHAnsi" w:cstheme="minorHAnsi"/>
        </w:rPr>
        <w:t>foods and beverages</w:t>
      </w:r>
      <w:r w:rsidR="00CF5B50">
        <w:rPr>
          <w:rFonts w:asciiTheme="minorHAnsi" w:hAnsiTheme="minorHAnsi" w:cstheme="minorHAnsi"/>
        </w:rPr>
        <w:t xml:space="preserve">.  </w:t>
      </w:r>
      <w:r w:rsidR="00F71930" w:rsidRPr="00223CFC">
        <w:rPr>
          <w:rFonts w:asciiTheme="minorHAnsi" w:hAnsiTheme="minorHAnsi" w:cstheme="minorHAnsi"/>
        </w:rPr>
        <w:t>Liquids mixed with Resource® ThickenUp® Clear powder do not have alterations in tast</w:t>
      </w:r>
      <w:r w:rsidR="00CE5777" w:rsidRPr="00223CFC">
        <w:rPr>
          <w:rFonts w:asciiTheme="minorHAnsi" w:hAnsiTheme="minorHAnsi" w:cstheme="minorHAnsi"/>
        </w:rPr>
        <w:t>e</w:t>
      </w:r>
      <w:r w:rsidR="00F71930" w:rsidRPr="00223CFC">
        <w:rPr>
          <w:rFonts w:asciiTheme="minorHAnsi" w:hAnsiTheme="minorHAnsi" w:cstheme="minorHAnsi"/>
        </w:rPr>
        <w:t xml:space="preserve"> or odor</w:t>
      </w:r>
      <w:r w:rsidR="00F71930" w:rsidRPr="00223CFC">
        <w:rPr>
          <w:rStyle w:val="FootnoteReference"/>
          <w:rFonts w:asciiTheme="minorHAnsi" w:hAnsiTheme="minorHAnsi" w:cstheme="minorHAnsi"/>
        </w:rPr>
        <w:footnoteReference w:id="1"/>
      </w:r>
      <w:r w:rsidR="00F71930" w:rsidRPr="00223CFC">
        <w:rPr>
          <w:rFonts w:asciiTheme="minorHAnsi" w:hAnsiTheme="minorHAnsi" w:cstheme="minorHAnsi"/>
        </w:rPr>
        <w:t xml:space="preserve">.  The product dissolves quickly and easily without creating lumps.  </w:t>
      </w:r>
    </w:p>
    <w:p w14:paraId="1B27F0C8" w14:textId="77777777" w:rsidR="0073511B" w:rsidRPr="00223CFC" w:rsidRDefault="0073511B" w:rsidP="00087A0E">
      <w:pPr>
        <w:rPr>
          <w:rFonts w:asciiTheme="minorHAnsi" w:hAnsiTheme="minorHAnsi" w:cstheme="minorHAnsi"/>
        </w:rPr>
      </w:pPr>
    </w:p>
    <w:p w14:paraId="1B27F0C9" w14:textId="32BFF2A8" w:rsidR="00E16E3E" w:rsidRPr="00223CFC" w:rsidRDefault="0073511B" w:rsidP="00087A0E">
      <w:pPr>
        <w:rPr>
          <w:rFonts w:asciiTheme="minorHAnsi" w:hAnsiTheme="minorHAnsi" w:cstheme="minorHAnsi"/>
        </w:rPr>
      </w:pPr>
      <w:r w:rsidRPr="00223CFC">
        <w:rPr>
          <w:rFonts w:asciiTheme="minorHAnsi" w:hAnsiTheme="minorHAnsi" w:cstheme="minorHAnsi"/>
        </w:rPr>
        <w:t>Dysphagia is a serious and widespread problem.  In the US, it is estimated that there are 24.6 million cases of dysphagia, including more than 14 million cases in elderly patients</w:t>
      </w:r>
      <w:r w:rsidR="00F078C2">
        <w:rPr>
          <w:rFonts w:asciiTheme="minorHAnsi" w:hAnsiTheme="minorHAnsi" w:cstheme="minorHAnsi"/>
        </w:rPr>
        <w:t>.</w:t>
      </w:r>
      <w:r w:rsidRPr="00223CFC">
        <w:rPr>
          <w:rStyle w:val="FootnoteReference"/>
          <w:rFonts w:asciiTheme="minorHAnsi" w:hAnsiTheme="minorHAnsi" w:cstheme="minorHAnsi"/>
        </w:rPr>
        <w:footnoteReference w:id="2"/>
      </w:r>
      <w:r w:rsidRPr="00223CFC">
        <w:rPr>
          <w:rFonts w:asciiTheme="minorHAnsi" w:hAnsiTheme="minorHAnsi" w:cstheme="minorHAnsi"/>
          <w:vertAlign w:val="superscript"/>
        </w:rPr>
        <w:t>,</w:t>
      </w:r>
      <w:r w:rsidRPr="00223CFC">
        <w:rPr>
          <w:rStyle w:val="FootnoteReference"/>
          <w:rFonts w:asciiTheme="minorHAnsi" w:hAnsiTheme="minorHAnsi" w:cstheme="minorHAnsi"/>
        </w:rPr>
        <w:footnoteReference w:id="3"/>
      </w:r>
      <w:r w:rsidR="00F078C2">
        <w:rPr>
          <w:rFonts w:asciiTheme="minorHAnsi" w:hAnsiTheme="minorHAnsi" w:cstheme="minorHAnsi"/>
        </w:rPr>
        <w:t xml:space="preserve">  </w:t>
      </w:r>
      <w:r w:rsidRPr="00223CFC">
        <w:rPr>
          <w:rFonts w:asciiTheme="minorHAnsi" w:hAnsiTheme="minorHAnsi" w:cstheme="minorHAnsi"/>
        </w:rPr>
        <w:t>Dysphagia</w:t>
      </w:r>
      <w:r w:rsidRPr="00223CFC">
        <w:rPr>
          <w:rFonts w:asciiTheme="minorHAnsi" w:hAnsiTheme="minorHAnsi" w:cstheme="minorHAnsi"/>
          <w:vertAlign w:val="superscript"/>
        </w:rPr>
        <w:t xml:space="preserve"> </w:t>
      </w:r>
      <w:r w:rsidRPr="00223CFC">
        <w:rPr>
          <w:rFonts w:asciiTheme="minorHAnsi" w:hAnsiTheme="minorHAnsi" w:cstheme="minorHAnsi"/>
        </w:rPr>
        <w:t>sufferers have an increased risk of aspiration pneumonia</w:t>
      </w:r>
      <w:r w:rsidRPr="00223CFC">
        <w:rPr>
          <w:rStyle w:val="FootnoteReference"/>
          <w:rFonts w:asciiTheme="minorHAnsi" w:hAnsiTheme="minorHAnsi" w:cstheme="minorHAnsi"/>
        </w:rPr>
        <w:footnoteReference w:id="4"/>
      </w:r>
      <w:r w:rsidRPr="00223CFC">
        <w:rPr>
          <w:rFonts w:asciiTheme="minorHAnsi" w:hAnsiTheme="minorHAnsi" w:cstheme="minorHAnsi"/>
        </w:rPr>
        <w:t xml:space="preserve">.  </w:t>
      </w:r>
      <w:r w:rsidR="009D3738" w:rsidRPr="00223CFC">
        <w:rPr>
          <w:rFonts w:asciiTheme="minorHAnsi" w:hAnsiTheme="minorHAnsi" w:cstheme="minorHAnsi"/>
        </w:rPr>
        <w:t xml:space="preserve">Resource® ThickenUp® </w:t>
      </w:r>
      <w:r w:rsidR="00F52753" w:rsidRPr="00223CFC">
        <w:rPr>
          <w:rFonts w:asciiTheme="minorHAnsi" w:hAnsiTheme="minorHAnsi" w:cstheme="minorHAnsi"/>
        </w:rPr>
        <w:t xml:space="preserve">Clear </w:t>
      </w:r>
      <w:r w:rsidR="009D3738" w:rsidRPr="00223CFC">
        <w:rPr>
          <w:rFonts w:asciiTheme="minorHAnsi" w:hAnsiTheme="minorHAnsi" w:cstheme="minorHAnsi"/>
        </w:rPr>
        <w:t xml:space="preserve">powder </w:t>
      </w:r>
      <w:r w:rsidR="00F52753" w:rsidRPr="00223CFC">
        <w:rPr>
          <w:rFonts w:asciiTheme="minorHAnsi" w:hAnsiTheme="minorHAnsi" w:cstheme="minorHAnsi"/>
        </w:rPr>
        <w:t>is clinically shown to improve swallowing safety in dysphagia patients by reducing the risk of aspiration compared with thin liquids.</w:t>
      </w:r>
      <w:r w:rsidR="00F52753" w:rsidRPr="00223CFC">
        <w:rPr>
          <w:rStyle w:val="FootnoteReference"/>
          <w:rFonts w:asciiTheme="minorHAnsi" w:hAnsiTheme="minorHAnsi" w:cstheme="minorHAnsi"/>
        </w:rPr>
        <w:footnoteReference w:id="5"/>
      </w:r>
      <w:r w:rsidR="009D3738" w:rsidRPr="00223CFC">
        <w:rPr>
          <w:rFonts w:asciiTheme="minorHAnsi" w:hAnsiTheme="minorHAnsi" w:cstheme="minorHAnsi"/>
        </w:rPr>
        <w:t xml:space="preserve">  </w:t>
      </w:r>
      <w:r w:rsidR="006678CB" w:rsidRPr="00223CFC">
        <w:rPr>
          <w:rFonts w:asciiTheme="minorHAnsi" w:hAnsiTheme="minorHAnsi" w:cstheme="minorHAnsi"/>
        </w:rPr>
        <w:t>Intervention with swallowing therapy and m</w:t>
      </w:r>
      <w:r w:rsidR="009D3738" w:rsidRPr="00223CFC">
        <w:rPr>
          <w:rFonts w:asciiTheme="minorHAnsi" w:hAnsiTheme="minorHAnsi" w:cstheme="minorHAnsi"/>
        </w:rPr>
        <w:t>odified</w:t>
      </w:r>
      <w:r w:rsidR="00276111" w:rsidRPr="00223CFC">
        <w:rPr>
          <w:rFonts w:asciiTheme="minorHAnsi" w:hAnsiTheme="minorHAnsi" w:cstheme="minorHAnsi"/>
        </w:rPr>
        <w:t xml:space="preserve"> consistency</w:t>
      </w:r>
      <w:r w:rsidR="009D3738" w:rsidRPr="00223CFC">
        <w:rPr>
          <w:rFonts w:asciiTheme="minorHAnsi" w:hAnsiTheme="minorHAnsi" w:cstheme="minorHAnsi"/>
        </w:rPr>
        <w:t xml:space="preserve"> liquids and foods have been demonstrated to reduce the risk for </w:t>
      </w:r>
      <w:r w:rsidR="009D3738" w:rsidRPr="00223CFC">
        <w:rPr>
          <w:rFonts w:asciiTheme="minorHAnsi" w:hAnsiTheme="minorHAnsi" w:cstheme="minorHAnsi"/>
        </w:rPr>
        <w:lastRenderedPageBreak/>
        <w:t>pneumonia-related readmissions, improve hydration and nutrition intakes</w:t>
      </w:r>
      <w:r w:rsidR="009D3738" w:rsidRPr="00223CFC">
        <w:rPr>
          <w:rStyle w:val="FootnoteReference"/>
          <w:rFonts w:asciiTheme="minorHAnsi" w:hAnsiTheme="minorHAnsi" w:cstheme="minorHAnsi"/>
        </w:rPr>
        <w:footnoteReference w:id="6"/>
      </w:r>
      <w:r w:rsidR="00276111" w:rsidRPr="00223CFC">
        <w:rPr>
          <w:rFonts w:asciiTheme="minorHAnsi" w:hAnsiTheme="minorHAnsi" w:cstheme="minorHAnsi"/>
          <w:vertAlign w:val="superscript"/>
        </w:rPr>
        <w:t>,</w:t>
      </w:r>
      <w:r w:rsidR="00276111" w:rsidRPr="00223CFC">
        <w:rPr>
          <w:rFonts w:asciiTheme="minorHAnsi" w:hAnsiTheme="minorHAnsi" w:cstheme="minorHAnsi"/>
        </w:rPr>
        <w:t xml:space="preserve"> and avoid weight loss</w:t>
      </w:r>
      <w:r w:rsidR="00C20E22" w:rsidRPr="00223CFC">
        <w:rPr>
          <w:rFonts w:asciiTheme="minorHAnsi" w:hAnsiTheme="minorHAnsi" w:cstheme="minorHAnsi"/>
          <w:vertAlign w:val="superscript"/>
        </w:rPr>
        <w:t>6</w:t>
      </w:r>
      <w:r w:rsidR="00E16E3E" w:rsidRPr="00223CFC">
        <w:rPr>
          <w:rFonts w:asciiTheme="minorHAnsi" w:hAnsiTheme="minorHAnsi" w:cstheme="minorHAnsi"/>
        </w:rPr>
        <w:t>.</w:t>
      </w:r>
      <w:r w:rsidR="00F52753" w:rsidRPr="00223CFC">
        <w:rPr>
          <w:rFonts w:asciiTheme="minorHAnsi" w:hAnsiTheme="minorHAnsi" w:cstheme="minorHAnsi"/>
        </w:rPr>
        <w:t xml:space="preserve">  </w:t>
      </w:r>
    </w:p>
    <w:p w14:paraId="1B27F0CA" w14:textId="77777777" w:rsidR="00F52753" w:rsidRPr="00223CFC" w:rsidRDefault="00F52753" w:rsidP="00087A0E">
      <w:pPr>
        <w:rPr>
          <w:rFonts w:asciiTheme="minorHAnsi" w:hAnsiTheme="minorHAnsi" w:cstheme="minorHAnsi"/>
        </w:rPr>
      </w:pPr>
    </w:p>
    <w:p w14:paraId="1B27F0CB" w14:textId="77777777" w:rsidR="00153F7B" w:rsidRPr="00223CFC" w:rsidRDefault="00F52753" w:rsidP="00087A0E">
      <w:pPr>
        <w:rPr>
          <w:rFonts w:asciiTheme="minorHAnsi" w:hAnsiTheme="minorHAnsi" w:cstheme="minorHAnsi"/>
        </w:rPr>
      </w:pPr>
      <w:r w:rsidRPr="00223CFC">
        <w:rPr>
          <w:rFonts w:asciiTheme="minorHAnsi" w:hAnsiTheme="minorHAnsi" w:cstheme="minorHAnsi"/>
        </w:rPr>
        <w:t xml:space="preserve">Resource® ThickenUp® Clear powder </w:t>
      </w:r>
      <w:r w:rsidR="00F02656" w:rsidRPr="00223CFC">
        <w:rPr>
          <w:rFonts w:asciiTheme="minorHAnsi" w:hAnsiTheme="minorHAnsi" w:cstheme="minorHAnsi"/>
        </w:rPr>
        <w:t>i</w:t>
      </w:r>
      <w:r w:rsidR="00F71930" w:rsidRPr="00223CFC">
        <w:rPr>
          <w:rFonts w:asciiTheme="minorHAnsi" w:hAnsiTheme="minorHAnsi" w:cstheme="minorHAnsi"/>
        </w:rPr>
        <w:t>s recognized</w:t>
      </w:r>
      <w:r w:rsidR="00600ED7" w:rsidRPr="00223CFC">
        <w:rPr>
          <w:rFonts w:asciiTheme="minorHAnsi" w:hAnsiTheme="minorHAnsi" w:cstheme="minorHAnsi"/>
        </w:rPr>
        <w:t xml:space="preserve"> </w:t>
      </w:r>
      <w:r w:rsidR="005E79B7" w:rsidRPr="00223CFC">
        <w:rPr>
          <w:rFonts w:asciiTheme="minorHAnsi" w:hAnsiTheme="minorHAnsi" w:cstheme="minorHAnsi"/>
        </w:rPr>
        <w:t>by the Centers for Medicare and Medicai</w:t>
      </w:r>
      <w:r w:rsidR="00600ED7" w:rsidRPr="00223CFC">
        <w:rPr>
          <w:rFonts w:asciiTheme="minorHAnsi" w:hAnsiTheme="minorHAnsi" w:cstheme="minorHAnsi"/>
        </w:rPr>
        <w:t>d Services (CMS) as a food thickener, administered orally, per ounce</w:t>
      </w:r>
      <w:r w:rsidR="00B8044C" w:rsidRPr="00223CFC">
        <w:rPr>
          <w:rFonts w:asciiTheme="minorHAnsi" w:hAnsiTheme="minorHAnsi" w:cstheme="minorHAnsi"/>
        </w:rPr>
        <w:t>,</w:t>
      </w:r>
      <w:r w:rsidR="00BD1AF0" w:rsidRPr="00223CFC">
        <w:rPr>
          <w:rFonts w:asciiTheme="minorHAnsi" w:hAnsiTheme="minorHAnsi" w:cstheme="minorHAnsi"/>
        </w:rPr>
        <w:t xml:space="preserve"> </w:t>
      </w:r>
      <w:r w:rsidR="009A6356" w:rsidRPr="00223CFC">
        <w:rPr>
          <w:rFonts w:asciiTheme="minorHAnsi" w:hAnsiTheme="minorHAnsi" w:cstheme="minorHAnsi"/>
        </w:rPr>
        <w:t>found in HCPCS Categ</w:t>
      </w:r>
      <w:r w:rsidR="00600ED7" w:rsidRPr="00223CFC">
        <w:rPr>
          <w:rFonts w:asciiTheme="minorHAnsi" w:hAnsiTheme="minorHAnsi" w:cstheme="minorHAnsi"/>
        </w:rPr>
        <w:t>ory B4100</w:t>
      </w:r>
      <w:r w:rsidR="00B12F20" w:rsidRPr="00223CFC">
        <w:rPr>
          <w:rFonts w:asciiTheme="minorHAnsi" w:hAnsiTheme="minorHAnsi" w:cstheme="minorHAnsi"/>
        </w:rPr>
        <w:t>.</w:t>
      </w:r>
    </w:p>
    <w:p w14:paraId="1B27F0CC" w14:textId="77777777" w:rsidR="009D3724" w:rsidRPr="00223CFC" w:rsidRDefault="001629BD" w:rsidP="00AC629A">
      <w:pPr>
        <w:rPr>
          <w:rFonts w:asciiTheme="minorHAnsi" w:hAnsiTheme="minorHAnsi" w:cstheme="minorHAnsi"/>
        </w:rPr>
      </w:pPr>
      <w:r w:rsidRPr="00223CFC">
        <w:rPr>
          <w:rFonts w:asciiTheme="minorHAnsi" w:hAnsiTheme="minorHAnsi" w:cstheme="minorHAnsi"/>
        </w:rPr>
        <w:t xml:space="preserve"> </w:t>
      </w:r>
    </w:p>
    <w:p w14:paraId="1B27F0CD" w14:textId="77777777" w:rsidR="00AC629A" w:rsidRPr="00223CFC" w:rsidRDefault="00AC629A" w:rsidP="00AC629A">
      <w:pPr>
        <w:rPr>
          <w:rFonts w:asciiTheme="minorHAnsi" w:hAnsiTheme="minorHAnsi" w:cstheme="minorHAnsi"/>
        </w:rPr>
      </w:pPr>
      <w:r w:rsidRPr="00223CFC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1B27F0CE" w14:textId="77777777" w:rsidR="00AC629A" w:rsidRPr="00223CFC" w:rsidRDefault="00AC629A" w:rsidP="00AC629A">
      <w:pPr>
        <w:rPr>
          <w:rFonts w:asciiTheme="minorHAnsi" w:hAnsiTheme="minorHAnsi" w:cstheme="minorHAnsi"/>
        </w:rPr>
      </w:pPr>
    </w:p>
    <w:p w14:paraId="1B27F0CF" w14:textId="77777777" w:rsidR="00AC629A" w:rsidRPr="00223CFC" w:rsidRDefault="00AC629A" w:rsidP="00AC629A">
      <w:pPr>
        <w:rPr>
          <w:rFonts w:asciiTheme="minorHAnsi" w:hAnsiTheme="minorHAnsi" w:cstheme="minorHAnsi"/>
        </w:rPr>
      </w:pPr>
    </w:p>
    <w:p w14:paraId="1B27F0D0" w14:textId="77777777" w:rsidR="00AC629A" w:rsidRPr="00223CFC" w:rsidRDefault="00AC629A" w:rsidP="00AC629A">
      <w:pPr>
        <w:rPr>
          <w:rFonts w:asciiTheme="minorHAnsi" w:hAnsiTheme="minorHAnsi" w:cstheme="minorHAnsi"/>
        </w:rPr>
      </w:pPr>
      <w:r w:rsidRPr="00223CFC">
        <w:rPr>
          <w:rFonts w:asciiTheme="minorHAnsi" w:hAnsiTheme="minorHAnsi" w:cstheme="minorHAnsi"/>
        </w:rPr>
        <w:t>Sincerely,</w:t>
      </w:r>
    </w:p>
    <w:p w14:paraId="1B27F0D1" w14:textId="77777777" w:rsidR="00AC629A" w:rsidRPr="00223CFC" w:rsidRDefault="00AC629A" w:rsidP="00AC629A">
      <w:pPr>
        <w:rPr>
          <w:rFonts w:asciiTheme="minorHAnsi" w:hAnsiTheme="minorHAnsi" w:cstheme="minorHAnsi"/>
        </w:rPr>
      </w:pPr>
    </w:p>
    <w:p w14:paraId="1B27F0D2" w14:textId="77777777" w:rsidR="00AC629A" w:rsidRPr="00223CFC" w:rsidRDefault="00AC629A" w:rsidP="00AC629A">
      <w:pPr>
        <w:rPr>
          <w:rFonts w:asciiTheme="minorHAnsi" w:hAnsiTheme="minorHAnsi" w:cstheme="minorHAnsi"/>
        </w:rPr>
      </w:pPr>
      <w:r w:rsidRPr="00223CFC">
        <w:rPr>
          <w:rFonts w:asciiTheme="minorHAnsi" w:hAnsiTheme="minorHAnsi" w:cstheme="minorHAnsi"/>
        </w:rPr>
        <w:t>Signature:</w:t>
      </w:r>
    </w:p>
    <w:p w14:paraId="1B27F0D3" w14:textId="77777777" w:rsidR="00AC629A" w:rsidRPr="00223CFC" w:rsidRDefault="00AC629A" w:rsidP="00AC629A">
      <w:pPr>
        <w:rPr>
          <w:rFonts w:asciiTheme="minorHAnsi" w:hAnsiTheme="minorHAnsi" w:cstheme="minorHAnsi"/>
        </w:rPr>
      </w:pPr>
      <w:r w:rsidRPr="00223CFC">
        <w:rPr>
          <w:rFonts w:asciiTheme="minorHAnsi" w:hAnsiTheme="minorHAnsi" w:cstheme="minorHAnsi"/>
        </w:rPr>
        <w:t>Name:</w:t>
      </w:r>
    </w:p>
    <w:p w14:paraId="1B27F0D4" w14:textId="77777777" w:rsidR="00AC629A" w:rsidRPr="00223CFC" w:rsidRDefault="00AC629A" w:rsidP="00AC629A">
      <w:pPr>
        <w:rPr>
          <w:rFonts w:asciiTheme="minorHAnsi" w:hAnsiTheme="minorHAnsi" w:cstheme="minorHAnsi"/>
        </w:rPr>
      </w:pPr>
      <w:r w:rsidRPr="00223CFC">
        <w:rPr>
          <w:rFonts w:asciiTheme="minorHAnsi" w:hAnsiTheme="minorHAnsi" w:cstheme="minorHAnsi"/>
        </w:rPr>
        <w:t>Title:</w:t>
      </w:r>
    </w:p>
    <w:p w14:paraId="1B27F0D5" w14:textId="77777777" w:rsidR="009D3724" w:rsidRPr="00223CFC" w:rsidRDefault="009D3724" w:rsidP="001629BD">
      <w:pPr>
        <w:rPr>
          <w:rFonts w:asciiTheme="minorHAnsi" w:hAnsiTheme="minorHAnsi" w:cstheme="minorHAnsi"/>
        </w:rPr>
      </w:pPr>
    </w:p>
    <w:p w14:paraId="1B27F0D7" w14:textId="4851E495" w:rsidR="001629BD" w:rsidRDefault="00CF5B50" w:rsidP="001629BD">
      <w:pPr>
        <w:rPr>
          <w:rFonts w:asciiTheme="minorHAnsi" w:hAnsiTheme="minorHAnsi" w:cstheme="minorHAnsi"/>
          <w:i/>
        </w:rPr>
      </w:pPr>
      <w:r w:rsidRPr="006408B1">
        <w:rPr>
          <w:rFonts w:asciiTheme="minorHAnsi" w:hAnsiTheme="minorHAnsi" w:cstheme="minorHAnsi"/>
        </w:rPr>
        <w:t>Attachments:</w:t>
      </w:r>
      <w:r w:rsidRPr="001C76CC">
        <w:rPr>
          <w:rFonts w:asciiTheme="minorHAnsi" w:hAnsiTheme="minorHAnsi" w:cstheme="minorHAnsi"/>
          <w:i/>
          <w:highlight w:val="lightGray"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If relevant,</w:t>
      </w:r>
      <w:r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2" w:history="1">
        <w:r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>
        <w:rPr>
          <w:rFonts w:asciiTheme="minorHAnsi" w:hAnsiTheme="minorHAnsi" w:cstheme="minorHAnsi"/>
          <w:i/>
          <w:highlight w:val="lightGray"/>
        </w:rPr>
        <w:t>n.</w:t>
      </w:r>
    </w:p>
    <w:p w14:paraId="08BB165A" w14:textId="77777777" w:rsidR="00CF5B50" w:rsidRDefault="00CF5B50" w:rsidP="001629BD">
      <w:pPr>
        <w:rPr>
          <w:rFonts w:asciiTheme="minorHAnsi" w:hAnsiTheme="minorHAnsi" w:cstheme="minorHAnsi"/>
          <w:i/>
        </w:rPr>
      </w:pPr>
    </w:p>
    <w:p w14:paraId="0C553598" w14:textId="77777777" w:rsidR="00CF5B50" w:rsidRPr="00223CFC" w:rsidRDefault="00CF5B50" w:rsidP="001629B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4664"/>
      </w:tblGrid>
      <w:tr w:rsidR="004E2C12" w:rsidRPr="00223CFC" w14:paraId="1B27F0DA" w14:textId="77777777" w:rsidTr="00C552A3">
        <w:tc>
          <w:tcPr>
            <w:tcW w:w="4788" w:type="dxa"/>
          </w:tcPr>
          <w:p w14:paraId="1B27F0D8" w14:textId="77777777" w:rsidR="004E2C12" w:rsidRPr="00223CFC" w:rsidRDefault="004E2C12" w:rsidP="00CB74D1">
            <w:pPr>
              <w:rPr>
                <w:rFonts w:asciiTheme="minorHAnsi" w:hAnsiTheme="minorHAnsi" w:cstheme="minorHAnsi"/>
                <w:b/>
              </w:rPr>
            </w:pPr>
            <w:r w:rsidRPr="00223CFC">
              <w:rPr>
                <w:rFonts w:asciiTheme="minorHAnsi" w:hAnsiTheme="minorHAnsi" w:cstheme="minorHAnsi"/>
                <w:b/>
              </w:rPr>
              <w:t>Key Nutrients</w:t>
            </w:r>
          </w:p>
        </w:tc>
        <w:tc>
          <w:tcPr>
            <w:tcW w:w="4788" w:type="dxa"/>
          </w:tcPr>
          <w:p w14:paraId="1B27F0D9" w14:textId="77777777" w:rsidR="004E2C12" w:rsidRPr="00223CFC" w:rsidRDefault="004E2C12" w:rsidP="00C552A3">
            <w:pPr>
              <w:jc w:val="center"/>
              <w:rPr>
                <w:rFonts w:asciiTheme="minorHAnsi" w:hAnsiTheme="minorHAnsi" w:cstheme="minorHAnsi"/>
              </w:rPr>
            </w:pPr>
            <w:r w:rsidRPr="00223CFC">
              <w:rPr>
                <w:rFonts w:asciiTheme="minorHAnsi" w:hAnsiTheme="minorHAnsi" w:cstheme="minorHAnsi"/>
                <w:b/>
              </w:rPr>
              <w:t>Per</w:t>
            </w:r>
            <w:r w:rsidRPr="00223CFC">
              <w:rPr>
                <w:rFonts w:asciiTheme="minorHAnsi" w:hAnsiTheme="minorHAnsi" w:cstheme="minorHAnsi"/>
              </w:rPr>
              <w:t xml:space="preserve"> </w:t>
            </w:r>
            <w:r w:rsidRPr="00223CFC">
              <w:rPr>
                <w:rFonts w:asciiTheme="minorHAnsi" w:hAnsiTheme="minorHAnsi" w:cstheme="minorHAnsi"/>
                <w:b/>
              </w:rPr>
              <w:t>1 packet (1.4g) or 1 scoop (1.4g)</w:t>
            </w:r>
          </w:p>
        </w:tc>
      </w:tr>
      <w:tr w:rsidR="00C552A3" w:rsidRPr="00223CFC" w14:paraId="1B27F0DD" w14:textId="77777777" w:rsidTr="00C552A3">
        <w:tc>
          <w:tcPr>
            <w:tcW w:w="4788" w:type="dxa"/>
          </w:tcPr>
          <w:p w14:paraId="1B27F0DB" w14:textId="77777777" w:rsidR="00C552A3" w:rsidRPr="00223CFC" w:rsidRDefault="00C552A3" w:rsidP="00CB74D1">
            <w:pPr>
              <w:rPr>
                <w:rFonts w:asciiTheme="minorHAnsi" w:hAnsiTheme="minorHAnsi" w:cstheme="minorHAnsi"/>
              </w:rPr>
            </w:pPr>
            <w:r w:rsidRPr="00223CFC">
              <w:rPr>
                <w:rFonts w:asciiTheme="minorHAnsi" w:hAnsiTheme="minorHAnsi" w:cstheme="minorHAnsi"/>
              </w:rPr>
              <w:t>Calories</w:t>
            </w:r>
          </w:p>
        </w:tc>
        <w:tc>
          <w:tcPr>
            <w:tcW w:w="4788" w:type="dxa"/>
          </w:tcPr>
          <w:p w14:paraId="1B27F0DC" w14:textId="77777777" w:rsidR="00C552A3" w:rsidRPr="00223CFC" w:rsidRDefault="00C552A3" w:rsidP="00C552A3">
            <w:pPr>
              <w:jc w:val="center"/>
              <w:rPr>
                <w:rFonts w:asciiTheme="minorHAnsi" w:hAnsiTheme="minorHAnsi" w:cstheme="minorHAnsi"/>
              </w:rPr>
            </w:pPr>
            <w:r w:rsidRPr="00223CFC">
              <w:rPr>
                <w:rFonts w:asciiTheme="minorHAnsi" w:hAnsiTheme="minorHAnsi" w:cstheme="minorHAnsi"/>
              </w:rPr>
              <w:t>5</w:t>
            </w:r>
          </w:p>
        </w:tc>
      </w:tr>
      <w:tr w:rsidR="00C552A3" w:rsidRPr="00223CFC" w14:paraId="1B27F0E0" w14:textId="77777777" w:rsidTr="00C552A3">
        <w:tc>
          <w:tcPr>
            <w:tcW w:w="4788" w:type="dxa"/>
          </w:tcPr>
          <w:p w14:paraId="1B27F0DE" w14:textId="77777777" w:rsidR="00C552A3" w:rsidRPr="00223CFC" w:rsidRDefault="00C552A3" w:rsidP="00CB74D1">
            <w:pPr>
              <w:rPr>
                <w:rFonts w:asciiTheme="minorHAnsi" w:hAnsiTheme="minorHAnsi" w:cstheme="minorHAnsi"/>
              </w:rPr>
            </w:pPr>
            <w:r w:rsidRPr="00223CFC">
              <w:rPr>
                <w:rFonts w:asciiTheme="minorHAnsi" w:hAnsiTheme="minorHAnsi" w:cstheme="minorHAnsi"/>
              </w:rPr>
              <w:t>Total Fat (g)</w:t>
            </w:r>
          </w:p>
        </w:tc>
        <w:tc>
          <w:tcPr>
            <w:tcW w:w="4788" w:type="dxa"/>
          </w:tcPr>
          <w:p w14:paraId="1B27F0DF" w14:textId="77777777" w:rsidR="00C552A3" w:rsidRPr="00223CFC" w:rsidRDefault="00C552A3" w:rsidP="00C552A3">
            <w:pPr>
              <w:jc w:val="center"/>
              <w:rPr>
                <w:rFonts w:asciiTheme="minorHAnsi" w:hAnsiTheme="minorHAnsi" w:cstheme="minorHAnsi"/>
              </w:rPr>
            </w:pPr>
            <w:r w:rsidRPr="00223CFC">
              <w:rPr>
                <w:rFonts w:asciiTheme="minorHAnsi" w:hAnsiTheme="minorHAnsi" w:cstheme="minorHAnsi"/>
              </w:rPr>
              <w:t>0</w:t>
            </w:r>
          </w:p>
        </w:tc>
      </w:tr>
      <w:tr w:rsidR="00C552A3" w:rsidRPr="00223CFC" w14:paraId="1B27F0E3" w14:textId="77777777" w:rsidTr="00C552A3">
        <w:tc>
          <w:tcPr>
            <w:tcW w:w="4788" w:type="dxa"/>
          </w:tcPr>
          <w:p w14:paraId="1B27F0E1" w14:textId="77777777" w:rsidR="00C552A3" w:rsidRPr="00223CFC" w:rsidRDefault="00C552A3" w:rsidP="00CB74D1">
            <w:pPr>
              <w:rPr>
                <w:rFonts w:asciiTheme="minorHAnsi" w:hAnsiTheme="minorHAnsi" w:cstheme="minorHAnsi"/>
              </w:rPr>
            </w:pPr>
            <w:r w:rsidRPr="00223CFC">
              <w:rPr>
                <w:rFonts w:asciiTheme="minorHAnsi" w:hAnsiTheme="minorHAnsi" w:cstheme="minorHAnsi"/>
              </w:rPr>
              <w:t>Total Carbohydrate (g)</w:t>
            </w:r>
          </w:p>
        </w:tc>
        <w:tc>
          <w:tcPr>
            <w:tcW w:w="4788" w:type="dxa"/>
          </w:tcPr>
          <w:p w14:paraId="1B27F0E2" w14:textId="77777777" w:rsidR="00C552A3" w:rsidRPr="00223CFC" w:rsidRDefault="00CE5777" w:rsidP="00CE5777">
            <w:pPr>
              <w:jc w:val="center"/>
              <w:rPr>
                <w:rFonts w:asciiTheme="minorHAnsi" w:hAnsiTheme="minorHAnsi" w:cstheme="minorHAnsi"/>
              </w:rPr>
            </w:pPr>
            <w:r w:rsidRPr="00223CFC">
              <w:rPr>
                <w:rFonts w:asciiTheme="minorHAnsi" w:hAnsiTheme="minorHAnsi" w:cstheme="minorHAnsi"/>
              </w:rPr>
              <w:t>1</w:t>
            </w:r>
          </w:p>
        </w:tc>
      </w:tr>
      <w:tr w:rsidR="00C552A3" w:rsidRPr="00223CFC" w14:paraId="1B27F0E6" w14:textId="77777777" w:rsidTr="00C552A3">
        <w:tc>
          <w:tcPr>
            <w:tcW w:w="4788" w:type="dxa"/>
          </w:tcPr>
          <w:p w14:paraId="1B27F0E4" w14:textId="77777777" w:rsidR="00C552A3" w:rsidRPr="00223CFC" w:rsidRDefault="00C552A3" w:rsidP="00CB74D1">
            <w:pPr>
              <w:rPr>
                <w:rFonts w:asciiTheme="minorHAnsi" w:hAnsiTheme="minorHAnsi" w:cstheme="minorHAnsi"/>
              </w:rPr>
            </w:pPr>
            <w:r w:rsidRPr="00223CFC">
              <w:rPr>
                <w:rFonts w:asciiTheme="minorHAnsi" w:hAnsiTheme="minorHAnsi" w:cstheme="minorHAnsi"/>
              </w:rPr>
              <w:t>Protein (g)</w:t>
            </w:r>
          </w:p>
        </w:tc>
        <w:tc>
          <w:tcPr>
            <w:tcW w:w="4788" w:type="dxa"/>
          </w:tcPr>
          <w:p w14:paraId="1B27F0E5" w14:textId="77777777" w:rsidR="00C552A3" w:rsidRPr="00223CFC" w:rsidRDefault="00C552A3" w:rsidP="00C552A3">
            <w:pPr>
              <w:jc w:val="center"/>
              <w:rPr>
                <w:rFonts w:asciiTheme="minorHAnsi" w:hAnsiTheme="minorHAnsi" w:cstheme="minorHAnsi"/>
              </w:rPr>
            </w:pPr>
            <w:r w:rsidRPr="00223CFC">
              <w:rPr>
                <w:rFonts w:asciiTheme="minorHAnsi" w:hAnsiTheme="minorHAnsi" w:cstheme="minorHAnsi"/>
              </w:rPr>
              <w:t>0</w:t>
            </w:r>
          </w:p>
        </w:tc>
      </w:tr>
    </w:tbl>
    <w:p w14:paraId="1B27F0E7" w14:textId="77777777" w:rsidR="00475D4B" w:rsidRPr="00223CFC" w:rsidRDefault="00475D4B" w:rsidP="00CB74D1">
      <w:pPr>
        <w:rPr>
          <w:rFonts w:asciiTheme="minorHAnsi" w:hAnsiTheme="minorHAnsi" w:cstheme="minorHAnsi"/>
        </w:rPr>
      </w:pPr>
    </w:p>
    <w:p w14:paraId="1B27F0E8" w14:textId="77777777" w:rsidR="000104FD" w:rsidRDefault="000104FD" w:rsidP="00CB74D1"/>
    <w:p w14:paraId="1B27F0E9" w14:textId="77777777" w:rsidR="000104FD" w:rsidRDefault="000104FD" w:rsidP="00CB74D1"/>
    <w:p w14:paraId="1B27F0EA" w14:textId="77777777" w:rsidR="000104FD" w:rsidRDefault="000104FD" w:rsidP="00CB74D1"/>
    <w:p w14:paraId="1B27F0EB" w14:textId="77777777" w:rsidR="000104FD" w:rsidRDefault="000104FD" w:rsidP="00CB74D1"/>
    <w:p w14:paraId="1B27F0EC" w14:textId="77777777" w:rsidR="000104FD" w:rsidRDefault="000104FD" w:rsidP="000104FD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B27F0ED" w14:textId="77777777" w:rsidR="000104FD" w:rsidRDefault="000104FD" w:rsidP="000104FD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B27F0EE" w14:textId="77777777" w:rsidR="000104FD" w:rsidRDefault="000104FD" w:rsidP="000104FD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B27F0EF" w14:textId="77777777" w:rsidR="003009C3" w:rsidRDefault="000104FD" w:rsidP="000104FD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</w:t>
      </w:r>
    </w:p>
    <w:p w14:paraId="1B27F0F0" w14:textId="77777777" w:rsidR="000104FD" w:rsidRDefault="003009C3" w:rsidP="00600ED7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</w:t>
      </w:r>
    </w:p>
    <w:sectPr w:rsidR="000104FD" w:rsidSect="000104F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7F0F3" w14:textId="77777777" w:rsidR="00735721" w:rsidRDefault="00735721">
      <w:r>
        <w:separator/>
      </w:r>
    </w:p>
  </w:endnote>
  <w:endnote w:type="continuationSeparator" w:id="0">
    <w:p w14:paraId="1B27F0F4" w14:textId="77777777" w:rsidR="00735721" w:rsidRDefault="0073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5809"/>
      <w:docPartObj>
        <w:docPartGallery w:val="Page Numbers (Bottom of Page)"/>
        <w:docPartUnique/>
      </w:docPartObj>
    </w:sdtPr>
    <w:sdtEndPr/>
    <w:sdtContent>
      <w:p w14:paraId="1B27F0F5" w14:textId="77777777" w:rsidR="00C20E22" w:rsidRDefault="00223C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D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27F0F6" w14:textId="77777777" w:rsidR="00CB60E7" w:rsidRDefault="00CB60E7" w:rsidP="00AC6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7F0F1" w14:textId="77777777" w:rsidR="00735721" w:rsidRDefault="00735721">
      <w:r>
        <w:separator/>
      </w:r>
    </w:p>
  </w:footnote>
  <w:footnote w:type="continuationSeparator" w:id="0">
    <w:p w14:paraId="1B27F0F2" w14:textId="77777777" w:rsidR="00735721" w:rsidRDefault="00735721">
      <w:r>
        <w:continuationSeparator/>
      </w:r>
    </w:p>
  </w:footnote>
  <w:footnote w:id="1">
    <w:p w14:paraId="1B27F0F7" w14:textId="77777777" w:rsidR="00CB60E7" w:rsidRPr="00CF5B50" w:rsidRDefault="00CB60E7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CF5B50">
        <w:rPr>
          <w:rFonts w:asciiTheme="minorHAnsi" w:hAnsiTheme="minorHAnsi"/>
        </w:rPr>
        <w:t>Nestlé Healthcare Nutrition. Data on File.</w:t>
      </w:r>
    </w:p>
  </w:footnote>
  <w:footnote w:id="2">
    <w:p w14:paraId="1B27F0F8" w14:textId="77777777" w:rsidR="00CB60E7" w:rsidRPr="00CF5B50" w:rsidRDefault="00CB60E7" w:rsidP="0073511B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CF5B50">
        <w:rPr>
          <w:rStyle w:val="FootnoteReference"/>
          <w:rFonts w:asciiTheme="minorHAnsi" w:hAnsiTheme="minorHAnsi"/>
        </w:rPr>
        <w:footnoteRef/>
      </w:r>
      <w:r w:rsidRPr="00CF5B50">
        <w:rPr>
          <w:rFonts w:asciiTheme="minorHAnsi" w:hAnsiTheme="minorHAnsi"/>
          <w:sz w:val="20"/>
          <w:szCs w:val="20"/>
          <w:lang w:eastAsia="en-US"/>
        </w:rPr>
        <w:t>United Nations. World Population Prospects: The 2010 Revision. http://esa.un.org/unpd/wpp/Excel-Data/DB02_Stock_Indicators/WPP2010_DB2_F01_TOTAL_POPULATION_BOTH_</w:t>
      </w:r>
    </w:p>
    <w:p w14:paraId="1B27F0F9" w14:textId="77777777" w:rsidR="00CB60E7" w:rsidRPr="00CF5B50" w:rsidRDefault="00CB60E7" w:rsidP="0073511B">
      <w:pPr>
        <w:pStyle w:val="FootnoteText"/>
        <w:rPr>
          <w:rFonts w:asciiTheme="minorHAnsi" w:hAnsiTheme="minorHAnsi"/>
        </w:rPr>
      </w:pPr>
      <w:r w:rsidRPr="00CF5B50">
        <w:rPr>
          <w:rFonts w:asciiTheme="minorHAnsi" w:hAnsiTheme="minorHAnsi"/>
          <w:lang w:eastAsia="en-US"/>
        </w:rPr>
        <w:t>SEXES.XLS</w:t>
      </w:r>
    </w:p>
  </w:footnote>
  <w:footnote w:id="3">
    <w:p w14:paraId="1B27F0FA" w14:textId="77777777" w:rsidR="00CB60E7" w:rsidRPr="00CF5B50" w:rsidRDefault="00CB60E7" w:rsidP="006678CB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en-US"/>
        </w:rPr>
      </w:pPr>
      <w:r w:rsidRPr="00CF5B50">
        <w:rPr>
          <w:rStyle w:val="FootnoteReference"/>
          <w:rFonts w:asciiTheme="minorHAnsi" w:hAnsiTheme="minorHAnsi"/>
        </w:rPr>
        <w:footnoteRef/>
      </w:r>
      <w:r w:rsidR="006678CB" w:rsidRPr="00CF5B50">
        <w:rPr>
          <w:rFonts w:asciiTheme="minorHAnsi" w:hAnsiTheme="minorHAnsi"/>
          <w:color w:val="000000"/>
          <w:sz w:val="20"/>
          <w:szCs w:val="20"/>
          <w:lang w:eastAsia="en-US"/>
        </w:rPr>
        <w:t xml:space="preserve">Mold JW, Reed LE, Davis AB, Allen ML, Decktor DL, Robinson M. Prevalence of gastroesophageal reflux in elderly patients in a primary care setting. </w:t>
      </w:r>
      <w:r w:rsidR="006678CB" w:rsidRPr="00CF5B50">
        <w:rPr>
          <w:rFonts w:asciiTheme="minorHAnsi" w:hAnsiTheme="minorHAnsi"/>
          <w:i/>
          <w:color w:val="000000"/>
          <w:sz w:val="20"/>
          <w:szCs w:val="20"/>
          <w:lang w:eastAsia="en-US"/>
        </w:rPr>
        <w:t>Am J Gastroenterol</w:t>
      </w:r>
      <w:r w:rsidR="006678CB" w:rsidRPr="00CF5B50">
        <w:rPr>
          <w:rFonts w:asciiTheme="minorHAnsi" w:hAnsiTheme="minorHAnsi"/>
          <w:color w:val="000000"/>
          <w:sz w:val="20"/>
          <w:szCs w:val="20"/>
          <w:lang w:eastAsia="en-US"/>
        </w:rPr>
        <w:t xml:space="preserve"> 1991;86:965 -70</w:t>
      </w:r>
      <w:r w:rsidRPr="00CF5B50">
        <w:rPr>
          <w:rFonts w:asciiTheme="minorHAnsi" w:hAnsiTheme="minorHAnsi"/>
          <w:lang w:eastAsia="en-US"/>
        </w:rPr>
        <w:t>.</w:t>
      </w:r>
    </w:p>
  </w:footnote>
  <w:footnote w:id="4">
    <w:p w14:paraId="1B27F0FB" w14:textId="233B9588" w:rsidR="00CB60E7" w:rsidRPr="00CF5B50" w:rsidRDefault="00CB60E7">
      <w:pPr>
        <w:pStyle w:val="FootnoteText"/>
        <w:rPr>
          <w:rFonts w:asciiTheme="minorHAnsi" w:hAnsiTheme="minorHAnsi"/>
        </w:rPr>
      </w:pPr>
      <w:r w:rsidRPr="00CF5B50">
        <w:rPr>
          <w:rStyle w:val="FootnoteReference"/>
          <w:rFonts w:asciiTheme="minorHAnsi" w:hAnsiTheme="minorHAnsi"/>
        </w:rPr>
        <w:footnoteRef/>
      </w:r>
      <w:r w:rsidRPr="00CF5B50">
        <w:rPr>
          <w:rFonts w:asciiTheme="minorHAnsi" w:hAnsiTheme="minorHAnsi"/>
        </w:rPr>
        <w:t xml:space="preserve"> </w:t>
      </w:r>
      <w:r w:rsidR="00CF5B50">
        <w:rPr>
          <w:rFonts w:asciiTheme="minorHAnsi" w:hAnsiTheme="minorHAnsi"/>
          <w:lang w:eastAsia="en-US"/>
        </w:rPr>
        <w:t>Kasprisin AT et al. Effi</w:t>
      </w:r>
      <w:r w:rsidRPr="00CF5B50">
        <w:rPr>
          <w:rFonts w:asciiTheme="minorHAnsi" w:hAnsiTheme="minorHAnsi"/>
          <w:lang w:eastAsia="en-US"/>
        </w:rPr>
        <w:t xml:space="preserve">cacy of rehabilitative management of dysphagia. </w:t>
      </w:r>
      <w:r w:rsidRPr="00CF5B50">
        <w:rPr>
          <w:rFonts w:asciiTheme="minorHAnsi" w:hAnsiTheme="minorHAnsi"/>
          <w:i/>
          <w:iCs/>
          <w:lang w:eastAsia="en-US"/>
        </w:rPr>
        <w:t xml:space="preserve">Dysphagia. </w:t>
      </w:r>
      <w:r w:rsidRPr="00CF5B50">
        <w:rPr>
          <w:rFonts w:asciiTheme="minorHAnsi" w:hAnsiTheme="minorHAnsi"/>
          <w:lang w:eastAsia="en-US"/>
        </w:rPr>
        <w:t>1989; 4(1):48-52.</w:t>
      </w:r>
    </w:p>
  </w:footnote>
  <w:footnote w:id="5">
    <w:p w14:paraId="1B27F0FC" w14:textId="76749587" w:rsidR="00CB60E7" w:rsidRPr="00CF5B50" w:rsidRDefault="00CB60E7" w:rsidP="00F52753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en-US"/>
        </w:rPr>
      </w:pPr>
      <w:r w:rsidRPr="00CF5B50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CF5B50">
        <w:rPr>
          <w:rFonts w:asciiTheme="minorHAnsi" w:hAnsiTheme="minorHAnsi"/>
          <w:sz w:val="20"/>
          <w:szCs w:val="20"/>
        </w:rPr>
        <w:t xml:space="preserve">Leonard R et al. </w:t>
      </w:r>
      <w:r w:rsidR="00CF5B50">
        <w:rPr>
          <w:rFonts w:asciiTheme="minorHAnsi" w:hAnsiTheme="minorHAnsi"/>
          <w:sz w:val="20"/>
          <w:szCs w:val="20"/>
        </w:rPr>
        <w:t xml:space="preserve"> </w:t>
      </w:r>
      <w:r w:rsidR="00CF5B50" w:rsidRPr="00CF5B50">
        <w:rPr>
          <w:rFonts w:asciiTheme="minorHAnsi" w:hAnsiTheme="minorHAnsi"/>
          <w:i/>
          <w:color w:val="000000"/>
          <w:sz w:val="20"/>
          <w:szCs w:val="20"/>
          <w:lang w:eastAsia="en-US"/>
        </w:rPr>
        <w:t>J Acad Nutr Diet</w:t>
      </w:r>
      <w:r w:rsidR="00CF5B50">
        <w:rPr>
          <w:rFonts w:asciiTheme="minorHAnsi" w:hAnsiTheme="minorHAnsi"/>
          <w:color w:val="000000"/>
          <w:sz w:val="20"/>
          <w:szCs w:val="20"/>
          <w:lang w:eastAsia="en-US"/>
        </w:rPr>
        <w:t xml:space="preserve">. </w:t>
      </w:r>
      <w:r w:rsidR="00CF5B50" w:rsidRPr="00CF5B50">
        <w:rPr>
          <w:rFonts w:asciiTheme="minorHAnsi" w:hAnsiTheme="minorHAnsi"/>
          <w:color w:val="000000"/>
          <w:sz w:val="20"/>
          <w:szCs w:val="20"/>
          <w:lang w:eastAsia="en-US"/>
        </w:rPr>
        <w:t>2014;114:590-594</w:t>
      </w:r>
    </w:p>
  </w:footnote>
  <w:footnote w:id="6">
    <w:p w14:paraId="1B27F0FD" w14:textId="614A197C" w:rsidR="00CB60E7" w:rsidRPr="00F078C2" w:rsidRDefault="00CB60E7">
      <w:pPr>
        <w:pStyle w:val="FootnoteText"/>
        <w:rPr>
          <w:rFonts w:asciiTheme="minorHAnsi" w:hAnsiTheme="minorHAnsi"/>
          <w:color w:val="FF0000"/>
        </w:rPr>
      </w:pPr>
      <w:r w:rsidRPr="00F078C2">
        <w:rPr>
          <w:rStyle w:val="FootnoteReference"/>
          <w:rFonts w:asciiTheme="minorHAnsi" w:hAnsiTheme="minorHAnsi"/>
        </w:rPr>
        <w:footnoteRef/>
      </w:r>
      <w:r w:rsidRPr="00F078C2">
        <w:rPr>
          <w:rStyle w:val="FootnoteReference"/>
          <w:rFonts w:asciiTheme="minorHAnsi" w:hAnsiTheme="minorHAnsi"/>
        </w:rPr>
        <w:t xml:space="preserve"> </w:t>
      </w:r>
      <w:r w:rsidR="00F078C2" w:rsidRPr="00F078C2">
        <w:rPr>
          <w:rFonts w:asciiTheme="minorHAnsi" w:hAnsiTheme="minorHAnsi"/>
        </w:rPr>
        <w:t xml:space="preserve">Martens et al.  </w:t>
      </w:r>
      <w:r w:rsidR="00F078C2" w:rsidRPr="00F078C2">
        <w:rPr>
          <w:rFonts w:asciiTheme="minorHAnsi" w:hAnsiTheme="minorHAnsi" w:cs="Tahoma"/>
          <w:color w:val="000000"/>
          <w:lang w:eastAsia="en-US"/>
        </w:rPr>
        <w:t xml:space="preserve">Effects of a multidisciplinary management program on neurologically impaired patients with dysphagia. </w:t>
      </w:r>
      <w:r w:rsidR="00F078C2" w:rsidRPr="00F078C2">
        <w:rPr>
          <w:rFonts w:asciiTheme="minorHAnsi" w:hAnsiTheme="minorHAnsi" w:cs="Tahoma"/>
          <w:i/>
          <w:color w:val="000000"/>
          <w:lang w:eastAsia="en-US"/>
        </w:rPr>
        <w:t>Dysphagia.</w:t>
      </w:r>
      <w:r w:rsidR="00F078C2">
        <w:rPr>
          <w:rFonts w:asciiTheme="minorHAnsi" w:hAnsiTheme="minorHAnsi" w:cs="Tahoma"/>
          <w:color w:val="000000"/>
          <w:lang w:eastAsia="en-US"/>
        </w:rPr>
        <w:t xml:space="preserve"> </w:t>
      </w:r>
      <w:r w:rsidR="00F078C2" w:rsidRPr="00F078C2">
        <w:rPr>
          <w:rFonts w:asciiTheme="minorHAnsi" w:hAnsiTheme="minorHAnsi" w:cs="Tahoma"/>
          <w:color w:val="000000"/>
          <w:lang w:eastAsia="en-US"/>
        </w:rPr>
        <w:t>1990;5(3):147-151.</w:t>
      </w:r>
      <w:r w:rsidR="00F078C2">
        <w:rPr>
          <w:rFonts w:asciiTheme="minorHAnsi" w:hAnsiTheme="minorHAnsi" w:cs="Tahoma"/>
          <w:color w:val="000000"/>
          <w:lang w:eastAsia="en-US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096C"/>
    <w:multiLevelType w:val="hybridMultilevel"/>
    <w:tmpl w:val="72DCC144"/>
    <w:lvl w:ilvl="0" w:tplc="BA7839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++9weshjk5DgC6qIxMl02oNwpSomevb3k7tf6AJN3MsnE5IQ11GlTLUsMBW68hkO8fO1N8DkJ0k/W/F0uav8g==" w:salt="nwVuXRTwbnLHYQAUi1Pd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51"/>
    <w:rsid w:val="0000399F"/>
    <w:rsid w:val="00004B03"/>
    <w:rsid w:val="000104FD"/>
    <w:rsid w:val="00044E7F"/>
    <w:rsid w:val="00047532"/>
    <w:rsid w:val="000608DC"/>
    <w:rsid w:val="0008094A"/>
    <w:rsid w:val="00087A0E"/>
    <w:rsid w:val="000921A0"/>
    <w:rsid w:val="000952F4"/>
    <w:rsid w:val="000B0133"/>
    <w:rsid w:val="000B0FCF"/>
    <w:rsid w:val="000D55AD"/>
    <w:rsid w:val="00107F69"/>
    <w:rsid w:val="001431B1"/>
    <w:rsid w:val="00153F7B"/>
    <w:rsid w:val="001569EA"/>
    <w:rsid w:val="001629BD"/>
    <w:rsid w:val="00167DD6"/>
    <w:rsid w:val="00173D20"/>
    <w:rsid w:val="001831F5"/>
    <w:rsid w:val="00190F8F"/>
    <w:rsid w:val="001C197E"/>
    <w:rsid w:val="001F360E"/>
    <w:rsid w:val="0021352B"/>
    <w:rsid w:val="00216C6F"/>
    <w:rsid w:val="002178B8"/>
    <w:rsid w:val="00223CFC"/>
    <w:rsid w:val="00276111"/>
    <w:rsid w:val="00280E8E"/>
    <w:rsid w:val="00282AB0"/>
    <w:rsid w:val="002D68BE"/>
    <w:rsid w:val="003009C3"/>
    <w:rsid w:val="003313E9"/>
    <w:rsid w:val="0033682E"/>
    <w:rsid w:val="003F6238"/>
    <w:rsid w:val="003F6386"/>
    <w:rsid w:val="0043187C"/>
    <w:rsid w:val="004500C4"/>
    <w:rsid w:val="00454B9A"/>
    <w:rsid w:val="004653F5"/>
    <w:rsid w:val="00474ABB"/>
    <w:rsid w:val="00475D4B"/>
    <w:rsid w:val="004D3F70"/>
    <w:rsid w:val="004E2C12"/>
    <w:rsid w:val="004F76F8"/>
    <w:rsid w:val="00516117"/>
    <w:rsid w:val="00526DBE"/>
    <w:rsid w:val="00547EE3"/>
    <w:rsid w:val="00576DF6"/>
    <w:rsid w:val="00595645"/>
    <w:rsid w:val="005B554D"/>
    <w:rsid w:val="005C6DAA"/>
    <w:rsid w:val="005E79B7"/>
    <w:rsid w:val="005F77C7"/>
    <w:rsid w:val="005F77D6"/>
    <w:rsid w:val="00600ED7"/>
    <w:rsid w:val="006059D1"/>
    <w:rsid w:val="00611E69"/>
    <w:rsid w:val="0062649B"/>
    <w:rsid w:val="0066068A"/>
    <w:rsid w:val="006678CB"/>
    <w:rsid w:val="006A6091"/>
    <w:rsid w:val="006B2C4F"/>
    <w:rsid w:val="006D7076"/>
    <w:rsid w:val="006F4C28"/>
    <w:rsid w:val="00703DE9"/>
    <w:rsid w:val="00707F7C"/>
    <w:rsid w:val="00717CA6"/>
    <w:rsid w:val="0073511B"/>
    <w:rsid w:val="00735721"/>
    <w:rsid w:val="007443E3"/>
    <w:rsid w:val="00765FB3"/>
    <w:rsid w:val="00774B8E"/>
    <w:rsid w:val="007A3BA8"/>
    <w:rsid w:val="007C538A"/>
    <w:rsid w:val="007F468E"/>
    <w:rsid w:val="007F7E5E"/>
    <w:rsid w:val="008133E6"/>
    <w:rsid w:val="00833CE8"/>
    <w:rsid w:val="0084472A"/>
    <w:rsid w:val="00863DCA"/>
    <w:rsid w:val="00864717"/>
    <w:rsid w:val="0089240A"/>
    <w:rsid w:val="0089406E"/>
    <w:rsid w:val="008A1836"/>
    <w:rsid w:val="008A4DD9"/>
    <w:rsid w:val="008A7195"/>
    <w:rsid w:val="008B6F28"/>
    <w:rsid w:val="008C6FCA"/>
    <w:rsid w:val="009415FB"/>
    <w:rsid w:val="00944A32"/>
    <w:rsid w:val="00947801"/>
    <w:rsid w:val="009509AB"/>
    <w:rsid w:val="00955338"/>
    <w:rsid w:val="00975A75"/>
    <w:rsid w:val="00981E1E"/>
    <w:rsid w:val="009A6356"/>
    <w:rsid w:val="009D2F31"/>
    <w:rsid w:val="009D3724"/>
    <w:rsid w:val="009D3738"/>
    <w:rsid w:val="009D66CF"/>
    <w:rsid w:val="009F4B47"/>
    <w:rsid w:val="009F71DE"/>
    <w:rsid w:val="00A263BA"/>
    <w:rsid w:val="00A428AB"/>
    <w:rsid w:val="00A82D66"/>
    <w:rsid w:val="00A96F99"/>
    <w:rsid w:val="00AC629A"/>
    <w:rsid w:val="00AE6A51"/>
    <w:rsid w:val="00B12F20"/>
    <w:rsid w:val="00B24D74"/>
    <w:rsid w:val="00B8044C"/>
    <w:rsid w:val="00BA09F7"/>
    <w:rsid w:val="00BD1AF0"/>
    <w:rsid w:val="00C20E22"/>
    <w:rsid w:val="00C552A3"/>
    <w:rsid w:val="00C55CD1"/>
    <w:rsid w:val="00C835CF"/>
    <w:rsid w:val="00C974FE"/>
    <w:rsid w:val="00CB60E7"/>
    <w:rsid w:val="00CB74D1"/>
    <w:rsid w:val="00CC1D8C"/>
    <w:rsid w:val="00CE5777"/>
    <w:rsid w:val="00CF58ED"/>
    <w:rsid w:val="00CF5B50"/>
    <w:rsid w:val="00CF5F35"/>
    <w:rsid w:val="00D03784"/>
    <w:rsid w:val="00D23B70"/>
    <w:rsid w:val="00D7565F"/>
    <w:rsid w:val="00D84CC8"/>
    <w:rsid w:val="00DD6DA3"/>
    <w:rsid w:val="00DF50EC"/>
    <w:rsid w:val="00E039D8"/>
    <w:rsid w:val="00E06538"/>
    <w:rsid w:val="00E16E3E"/>
    <w:rsid w:val="00E52C84"/>
    <w:rsid w:val="00E578FF"/>
    <w:rsid w:val="00EA07B8"/>
    <w:rsid w:val="00EA54FF"/>
    <w:rsid w:val="00EE2D65"/>
    <w:rsid w:val="00EE39F7"/>
    <w:rsid w:val="00EE5490"/>
    <w:rsid w:val="00F02656"/>
    <w:rsid w:val="00F078C2"/>
    <w:rsid w:val="00F21A7B"/>
    <w:rsid w:val="00F344E0"/>
    <w:rsid w:val="00F44A0F"/>
    <w:rsid w:val="00F52753"/>
    <w:rsid w:val="00F5557F"/>
    <w:rsid w:val="00F71930"/>
    <w:rsid w:val="00F93C1D"/>
    <w:rsid w:val="00FB19E0"/>
    <w:rsid w:val="00FD45A3"/>
    <w:rsid w:val="00FE131F"/>
    <w:rsid w:val="00FE1709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7F0B8"/>
  <w15:docId w15:val="{2DF62441-9973-4C71-85E3-E926759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1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6D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84CC8"/>
    <w:rPr>
      <w:sz w:val="16"/>
      <w:szCs w:val="16"/>
    </w:rPr>
  </w:style>
  <w:style w:type="paragraph" w:styleId="CommentText">
    <w:name w:val="annotation text"/>
    <w:basedOn w:val="Normal"/>
    <w:semiHidden/>
    <w:rsid w:val="00D84CC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4CC8"/>
    <w:rPr>
      <w:b/>
      <w:bCs/>
    </w:rPr>
  </w:style>
  <w:style w:type="paragraph" w:styleId="Header">
    <w:name w:val="header"/>
    <w:basedOn w:val="Normal"/>
    <w:rsid w:val="00AC62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629A"/>
  </w:style>
  <w:style w:type="paragraph" w:styleId="FootnoteText">
    <w:name w:val="footnote text"/>
    <w:basedOn w:val="Normal"/>
    <w:semiHidden/>
    <w:rsid w:val="000104F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104FD"/>
    <w:rPr>
      <w:vertAlign w:val="superscript"/>
    </w:rPr>
  </w:style>
  <w:style w:type="character" w:styleId="Hyperlink">
    <w:name w:val="Hyperlink"/>
    <w:basedOn w:val="DefaultParagraphFont"/>
    <w:rsid w:val="00600ED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20E22"/>
    <w:rPr>
      <w:sz w:val="24"/>
      <w:szCs w:val="24"/>
      <w:lang w:eastAsia="zh-CN"/>
    </w:rPr>
  </w:style>
  <w:style w:type="character" w:styleId="FollowedHyperlink">
    <w:name w:val="FollowedHyperlink"/>
    <w:basedOn w:val="DefaultParagraphFont"/>
    <w:semiHidden/>
    <w:unhideWhenUsed/>
    <w:rsid w:val="00CF5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estleHealthScience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09861573ED145ADBD03E5C20953EF" ma:contentTypeVersion="1" ma:contentTypeDescription="Create a new document." ma:contentTypeScope="" ma:versionID="fc5733e463cfc2f2255fb7962acca329">
  <xsd:schema xmlns:xsd="http://www.w3.org/2001/XMLSchema" xmlns:xs="http://www.w3.org/2001/XMLSchema" xmlns:p="http://schemas.microsoft.com/office/2006/metadata/properties" xmlns:ns1="http://schemas.microsoft.com/sharepoint/v3" xmlns:ns2="564a7cfc-2f05-4463-9f71-2bf394ca9cdc" targetNamespace="http://schemas.microsoft.com/office/2006/metadata/properties" ma:root="true" ma:fieldsID="f06dd8208923bf886e793beb70ab94c7" ns1:_="" ns2:_="">
    <xsd:import namespace="http://schemas.microsoft.com/sharepoint/v3"/>
    <xsd:import namespace="564a7cfc-2f05-4463-9f71-2bf394ca9c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7cfc-2f05-4463-9f71-2bf394ca9c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DB348-8CB8-41ED-868A-A704356096B1}"/>
</file>

<file path=customXml/itemProps2.xml><?xml version="1.0" encoding="utf-8"?>
<ds:datastoreItem xmlns:ds="http://schemas.openxmlformats.org/officeDocument/2006/customXml" ds:itemID="{93CEFFE5-1D73-4276-8EBC-9B870358FB3C}"/>
</file>

<file path=customXml/itemProps3.xml><?xml version="1.0" encoding="utf-8"?>
<ds:datastoreItem xmlns:ds="http://schemas.openxmlformats.org/officeDocument/2006/customXml" ds:itemID="{9EE1394B-934B-46F6-B588-268825E5DC94}"/>
</file>

<file path=customXml/itemProps4.xml><?xml version="1.0" encoding="utf-8"?>
<ds:datastoreItem xmlns:ds="http://schemas.openxmlformats.org/officeDocument/2006/customXml" ds:itemID="{6E850584-96AE-4D94-B8EF-B0F30569F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a7cfc-2f05-4463-9f71-2bf394ca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C70B2E-2CCB-4685-A179-26BA0C6647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Nestle Compleat Letter of Medical Necessity</vt:lpstr>
    </vt:vector>
  </TitlesOfParts>
  <Company>Nestle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Med Nec Resource ThickenUp Clear 0516</dc:title>
  <dc:creator>Nestle</dc:creator>
  <cp:lastModifiedBy>Steele,Sally,Buffalo Grove,HealthCare Nutrition</cp:lastModifiedBy>
  <cp:revision>4</cp:revision>
  <cp:lastPrinted>2016-05-17T16:16:00Z</cp:lastPrinted>
  <dcterms:created xsi:type="dcterms:W3CDTF">2016-05-17T16:28:00Z</dcterms:created>
  <dcterms:modified xsi:type="dcterms:W3CDTF">2016-05-26T21:47:00Z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1e48f8ca-7cf7-4774-9cea-e719f49c81b3</vt:lpwstr>
  </property>
  <property fmtid="{D5CDD505-2E9C-101B-9397-08002B2CF9AE}" pid="3" name="ContentTypeId">
    <vt:lpwstr>0x010100354D9801E8824D4A93A7324BF2FAA8C9</vt:lpwstr>
  </property>
</Properties>
</file>